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jc w:val="left"/>
        <w:outlineLvl w:val="2"/>
        <w:rPr>
          <w:rFonts w:ascii="方正姚体" w:hAnsi="Arial" w:eastAsia="方正姚体" w:cs="Arial"/>
          <w:color w:val="FF0000"/>
          <w:spacing w:val="28"/>
          <w:kern w:val="0"/>
          <w:sz w:val="72"/>
          <w:szCs w:val="72"/>
        </w:rPr>
      </w:pPr>
    </w:p>
    <w:p>
      <w:pPr>
        <w:widowControl/>
        <w:spacing w:line="1000" w:lineRule="exact"/>
        <w:jc w:val="left"/>
        <w:outlineLvl w:val="2"/>
        <w:rPr>
          <w:rFonts w:ascii="方正姚体" w:hAnsi="Arial" w:eastAsia="方正姚体" w:cs="Arial"/>
          <w:color w:val="FF0000"/>
          <w:spacing w:val="28"/>
          <w:kern w:val="0"/>
          <w:sz w:val="72"/>
          <w:szCs w:val="72"/>
        </w:rPr>
      </w:pPr>
      <w:r>
        <w:rPr>
          <w:rFonts w:hint="eastAsia" w:ascii="方正姚体" w:hAnsi="Arial" w:eastAsia="方正姚体" w:cs="Arial"/>
          <w:color w:val="FF0000"/>
          <w:spacing w:val="28"/>
          <w:kern w:val="0"/>
          <w:sz w:val="72"/>
          <w:szCs w:val="72"/>
        </w:rPr>
        <w:t>常德市残疾人联合会</w:t>
      </w:r>
    </w:p>
    <w:p>
      <w:pPr>
        <w:widowControl/>
        <w:spacing w:line="1000" w:lineRule="exact"/>
        <w:jc w:val="left"/>
        <w:outlineLvl w:val="2"/>
        <w:rPr>
          <w:rFonts w:ascii="方正姚体" w:hAnsi="Arial" w:eastAsia="方正姚体" w:cs="Arial"/>
          <w:color w:val="FF0000"/>
          <w:spacing w:val="40"/>
          <w:kern w:val="0"/>
          <w:sz w:val="72"/>
          <w:szCs w:val="72"/>
        </w:rPr>
      </w:pPr>
      <w:r>
        <w:rPr>
          <w:rFonts w:ascii="方正姚体" w:hAnsi="Arial" w:eastAsia="方正姚体" w:cs="Arial"/>
          <w:color w:val="FF0000"/>
          <w:spacing w:val="40"/>
          <w:kern w:val="0"/>
          <w:sz w:val="72"/>
          <w:szCs w:val="72"/>
        </w:rPr>
        <w:pict>
          <v:rect id="矩形 1" o:spid="_x0000_s1026" o:spt="1" style="position:absolute;left:0pt;margin-left:341.35pt;margin-top:23.85pt;height:66pt;width:105.75pt;z-index:251659264;v-text-anchor:middle;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">
            <v:path/>
            <v:fill on="f" focussize="0,0"/>
            <v:stroke on="f" weight="2pt"/>
            <v:imagedata o:title=""/>
            <o:lock v:ext="edit"/>
            <v:textbox>
              <w:txbxContent>
                <w:p>
                  <w:pPr>
                    <w:jc w:val="center"/>
                    <w:rPr>
                      <w:rFonts w:ascii="方正姚体" w:eastAsia="方正姚体"/>
                      <w:color w:val="FF0000"/>
                      <w:sz w:val="84"/>
                      <w:szCs w:val="84"/>
                    </w:rPr>
                  </w:pPr>
                  <w:r>
                    <w:rPr>
                      <w:rFonts w:hint="eastAsia" w:ascii="方正姚体" w:eastAsia="方正姚体"/>
                      <w:color w:val="FF0000"/>
                      <w:sz w:val="84"/>
                      <w:szCs w:val="84"/>
                    </w:rPr>
                    <w:t>文件</w:t>
                  </w:r>
                </w:p>
              </w:txbxContent>
            </v:textbox>
          </v:rect>
        </w:pict>
      </w:r>
      <w:r>
        <w:rPr>
          <w:rFonts w:hint="eastAsia" w:ascii="方正姚体" w:hAnsi="Arial" w:eastAsia="方正姚体" w:cs="Arial"/>
          <w:color w:val="FF0000"/>
          <w:spacing w:val="40"/>
          <w:kern w:val="0"/>
          <w:sz w:val="72"/>
          <w:szCs w:val="72"/>
        </w:rPr>
        <w:t>常 德 市 商 务 局</w:t>
      </w:r>
    </w:p>
    <w:p>
      <w:pPr>
        <w:widowControl/>
        <w:spacing w:line="1000" w:lineRule="exact"/>
        <w:jc w:val="left"/>
        <w:outlineLvl w:val="2"/>
        <w:rPr>
          <w:rFonts w:ascii="方正姚体" w:hAnsi="Arial" w:eastAsia="方正姚体" w:cs="Arial"/>
          <w:color w:val="FF0000"/>
          <w:spacing w:val="-20"/>
          <w:kern w:val="0"/>
          <w:sz w:val="72"/>
          <w:szCs w:val="72"/>
        </w:rPr>
      </w:pPr>
      <w:r>
        <w:rPr>
          <w:rFonts w:hint="eastAsia" w:ascii="方正姚体" w:hAnsi="Arial" w:eastAsia="方正姚体" w:cs="Arial"/>
          <w:color w:val="FF0000"/>
          <w:spacing w:val="-20"/>
          <w:kern w:val="0"/>
          <w:sz w:val="72"/>
          <w:szCs w:val="72"/>
        </w:rPr>
        <w:t>常德市扶贫开发办公室</w:t>
      </w:r>
    </w:p>
    <w:p>
      <w:pPr>
        <w:widowControl/>
        <w:spacing w:line="1000" w:lineRule="exact"/>
        <w:jc w:val="left"/>
        <w:outlineLvl w:val="2"/>
        <w:rPr>
          <w:rFonts w:ascii="方正姚体" w:hAnsi="Arial" w:eastAsia="方正姚体" w:cs="Arial"/>
          <w:color w:val="FF0000"/>
          <w:spacing w:val="40"/>
          <w:kern w:val="0"/>
          <w:sz w:val="72"/>
          <w:szCs w:val="72"/>
        </w:rPr>
      </w:pPr>
      <w:r>
        <w:rPr>
          <w:rFonts w:hint="eastAsia" w:ascii="方正姚体" w:hAnsi="Arial" w:eastAsia="方正姚体" w:cs="Arial"/>
          <w:color w:val="FF0000"/>
          <w:spacing w:val="40"/>
          <w:kern w:val="0"/>
          <w:sz w:val="72"/>
          <w:szCs w:val="72"/>
        </w:rPr>
        <w:t>常 德 市 财 政 局</w:t>
      </w:r>
    </w:p>
    <w:p>
      <w:pPr>
        <w:widowControl/>
        <w:spacing w:line="450" w:lineRule="atLeast"/>
        <w:jc w:val="center"/>
        <w:outlineLvl w:val="2"/>
        <w:rPr>
          <w:rFonts w:ascii="仿宋_GB2312" w:hAnsi="Arial" w:eastAsia="仿宋_GB2312" w:cs="Arial"/>
          <w:color w:val="000000" w:themeColor="text1"/>
          <w:kern w:val="0"/>
          <w:sz w:val="15"/>
          <w:szCs w:val="15"/>
        </w:rPr>
      </w:pPr>
    </w:p>
    <w:p>
      <w:pPr>
        <w:widowControl/>
        <w:spacing w:line="450" w:lineRule="atLeast"/>
        <w:jc w:val="center"/>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〔2018〕</w:t>
      </w:r>
      <w:r>
        <w:rPr>
          <w:rFonts w:hint="eastAsia" w:ascii="仿宋_GB2312" w:hAnsi="Arial" w:eastAsia="仿宋_GB2312" w:cs="Arial"/>
          <w:color w:val="000000" w:themeColor="text1"/>
          <w:kern w:val="0"/>
          <w:sz w:val="32"/>
          <w:szCs w:val="32"/>
          <w:lang w:val="en-US" w:eastAsia="zh-CN"/>
        </w:rPr>
        <w:t>10</w:t>
      </w:r>
      <w:r>
        <w:rPr>
          <w:rFonts w:hint="eastAsia" w:ascii="仿宋_GB2312" w:hAnsi="Arial" w:eastAsia="仿宋_GB2312" w:cs="Arial"/>
          <w:color w:val="000000" w:themeColor="text1"/>
          <w:kern w:val="0"/>
          <w:sz w:val="32"/>
          <w:szCs w:val="32"/>
        </w:rPr>
        <w:t xml:space="preserve"> 号</w:t>
      </w:r>
    </w:p>
    <w:p>
      <w:pPr>
        <w:widowControl/>
        <w:spacing w:line="450" w:lineRule="atLeast"/>
        <w:jc w:val="left"/>
        <w:outlineLvl w:val="2"/>
        <w:rPr>
          <w:rFonts w:ascii="方正小标宋简体" w:hAnsi="Arial" w:eastAsia="方正小标宋简体" w:cs="Arial"/>
          <w:color w:val="000000" w:themeColor="text1"/>
          <w:kern w:val="0"/>
          <w:sz w:val="36"/>
          <w:szCs w:val="36"/>
          <w:u w:val="thick" w:color="FF0000"/>
        </w:rPr>
      </w:pPr>
      <w:r>
        <w:rPr>
          <w:rFonts w:ascii="仿宋_GB2312" w:hAnsi="Arial" w:eastAsia="仿宋_GB2312" w:cs="Arial"/>
          <w:color w:val="000000" w:themeColor="text1"/>
          <w:kern w:val="0"/>
          <w:sz w:val="30"/>
          <w:szCs w:val="30"/>
        </w:rPr>
        <w:pict>
          <v:line id="直接连接符 2" o:spid="_x0000_s1027" o:spt="20" style="position:absolute;left:0pt;margin-left:-8.85pt;margin-top:0.55pt;height:0pt;width:443.25pt;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">
            <v:path arrowok="t"/>
            <v:fill focussize="0,0"/>
            <v:stroke weight="1.5pt" color="#FF0000"/>
            <v:imagedata o:title=""/>
            <o:lock v:ext="edit"/>
          </v:line>
        </w:pict>
      </w:r>
    </w:p>
    <w:p>
      <w:pPr>
        <w:widowControl/>
        <w:spacing w:line="500" w:lineRule="exact"/>
        <w:outlineLvl w:val="2"/>
        <w:rPr>
          <w:rFonts w:ascii="方正小标宋简体" w:hAnsi="Arial" w:eastAsia="方正小标宋简体" w:cs="Arial"/>
          <w:color w:val="000000" w:themeColor="text1"/>
          <w:kern w:val="0"/>
          <w:sz w:val="44"/>
          <w:szCs w:val="44"/>
        </w:rPr>
      </w:pPr>
    </w:p>
    <w:p>
      <w:pPr>
        <w:widowControl/>
        <w:spacing w:line="600" w:lineRule="exact"/>
        <w:jc w:val="center"/>
        <w:outlineLvl w:val="2"/>
        <w:rPr>
          <w:rFonts w:ascii="方正小标宋简体" w:hAnsi="Arial" w:eastAsia="方正小标宋简体" w:cs="Arial"/>
          <w:color w:val="000000" w:themeColor="text1"/>
          <w:kern w:val="0"/>
          <w:sz w:val="44"/>
          <w:szCs w:val="44"/>
        </w:rPr>
      </w:pPr>
      <w:r>
        <w:rPr>
          <w:rFonts w:hint="eastAsia" w:ascii="方正小标宋简体" w:hAnsi="Arial" w:eastAsia="方正小标宋简体" w:cs="Arial"/>
          <w:color w:val="000000" w:themeColor="text1"/>
          <w:kern w:val="0"/>
          <w:sz w:val="44"/>
          <w:szCs w:val="44"/>
        </w:rPr>
        <w:t>关于印发《常德市电子商务助残扶贫工程行动方案（2017-2020年）》的通知</w:t>
      </w:r>
    </w:p>
    <w:p>
      <w:pPr>
        <w:widowControl/>
        <w:spacing w:line="450" w:lineRule="atLeast"/>
        <w:jc w:val="left"/>
        <w:outlineLvl w:val="2"/>
        <w:rPr>
          <w:rFonts w:ascii="仿宋_GB2312" w:hAnsi="Arial" w:eastAsia="仿宋_GB2312" w:cs="Arial"/>
          <w:color w:val="000000" w:themeColor="text1"/>
          <w:kern w:val="0"/>
          <w:sz w:val="30"/>
          <w:szCs w:val="30"/>
        </w:rPr>
      </w:pPr>
    </w:p>
    <w:p>
      <w:pPr>
        <w:widowControl/>
        <w:spacing w:line="450" w:lineRule="atLeast"/>
        <w:jc w:val="left"/>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各区县市残联、商务</w:t>
      </w:r>
      <w:r>
        <w:rPr>
          <w:rFonts w:hint="eastAsia" w:ascii="仿宋_GB2312" w:hAnsi="Arial" w:eastAsia="仿宋_GB2312" w:cs="Arial"/>
          <w:color w:val="000000" w:themeColor="text1"/>
          <w:kern w:val="0"/>
          <w:sz w:val="32"/>
          <w:szCs w:val="32"/>
          <w:lang w:val="en-US" w:eastAsia="zh-CN"/>
        </w:rPr>
        <w:t>粮食局</w:t>
      </w:r>
      <w:bookmarkStart w:id="0" w:name="_GoBack"/>
      <w:bookmarkEnd w:id="0"/>
      <w:r>
        <w:rPr>
          <w:rFonts w:hint="eastAsia" w:ascii="仿宋_GB2312" w:hAnsi="Arial" w:eastAsia="仿宋_GB2312" w:cs="Arial"/>
          <w:color w:val="000000" w:themeColor="text1"/>
          <w:kern w:val="0"/>
          <w:sz w:val="32"/>
          <w:szCs w:val="32"/>
        </w:rPr>
        <w:t>、扶贫办、财政局：</w:t>
      </w:r>
    </w:p>
    <w:p>
      <w:pPr>
        <w:widowControl/>
        <w:spacing w:line="450" w:lineRule="atLeast"/>
        <w:ind w:firstLine="640" w:firstLineChars="200"/>
        <w:jc w:val="left"/>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现将《常德市电子商务助残扶贫工程行动方案</w:t>
      </w:r>
      <w:r>
        <w:rPr>
          <w:rFonts w:hint="eastAsia" w:ascii="仿宋_GB2312" w:hAnsi="Arial" w:eastAsia="仿宋_GB2312" w:cs="Arial"/>
          <w:color w:val="000000" w:themeColor="text1"/>
          <w:spacing w:val="-20"/>
          <w:kern w:val="0"/>
          <w:sz w:val="32"/>
          <w:szCs w:val="32"/>
        </w:rPr>
        <w:t>（2017-2020年）</w:t>
      </w:r>
      <w:r>
        <w:rPr>
          <w:rFonts w:hint="eastAsia" w:ascii="仿宋_GB2312" w:hAnsi="Arial" w:eastAsia="仿宋_GB2312" w:cs="Arial"/>
          <w:color w:val="000000" w:themeColor="text1"/>
          <w:kern w:val="0"/>
          <w:sz w:val="32"/>
          <w:szCs w:val="32"/>
        </w:rPr>
        <w:t>》印发给你们，请认真贯彻落实。</w:t>
      </w:r>
    </w:p>
    <w:p>
      <w:pPr>
        <w:widowControl/>
        <w:spacing w:line="600" w:lineRule="exact"/>
        <w:jc w:val="left"/>
        <w:outlineLvl w:val="2"/>
        <w:rPr>
          <w:rFonts w:ascii="仿宋_GB2312" w:hAnsi="Arial" w:eastAsia="仿宋_GB2312" w:cs="Arial"/>
          <w:color w:val="000000" w:themeColor="text1"/>
          <w:kern w:val="0"/>
          <w:sz w:val="32"/>
          <w:szCs w:val="32"/>
        </w:rPr>
      </w:pPr>
    </w:p>
    <w:p>
      <w:pPr>
        <w:widowControl/>
        <w:spacing w:line="600" w:lineRule="exact"/>
        <w:jc w:val="left"/>
        <w:outlineLvl w:val="2"/>
        <w:rPr>
          <w:rFonts w:ascii="仿宋_GB2312" w:hAnsi="Arial" w:eastAsia="仿宋_GB2312" w:cs="Arial"/>
          <w:color w:val="000000" w:themeColor="text1"/>
          <w:kern w:val="0"/>
          <w:sz w:val="32"/>
          <w:szCs w:val="32"/>
        </w:rPr>
      </w:pPr>
    </w:p>
    <w:p>
      <w:pPr>
        <w:widowControl/>
        <w:spacing w:line="450" w:lineRule="atLeast"/>
        <w:ind w:firstLine="160" w:firstLineChars="50"/>
        <w:jc w:val="left"/>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常德市残疾人联合会                  常德市商务局</w:t>
      </w:r>
    </w:p>
    <w:p>
      <w:pPr>
        <w:widowControl/>
        <w:spacing w:line="600" w:lineRule="exact"/>
        <w:jc w:val="left"/>
        <w:outlineLvl w:val="2"/>
        <w:rPr>
          <w:rFonts w:ascii="仿宋_GB2312" w:hAnsi="Arial" w:eastAsia="仿宋_GB2312" w:cs="Arial"/>
          <w:color w:val="000000" w:themeColor="text1"/>
          <w:kern w:val="0"/>
          <w:sz w:val="32"/>
          <w:szCs w:val="32"/>
        </w:rPr>
      </w:pPr>
    </w:p>
    <w:p>
      <w:pPr>
        <w:widowControl/>
        <w:spacing w:line="600" w:lineRule="exact"/>
        <w:jc w:val="left"/>
        <w:outlineLvl w:val="2"/>
        <w:rPr>
          <w:rFonts w:ascii="仿宋_GB2312" w:hAnsi="Arial" w:eastAsia="仿宋_GB2312" w:cs="Arial"/>
          <w:color w:val="000000" w:themeColor="text1"/>
          <w:kern w:val="0"/>
          <w:sz w:val="32"/>
          <w:szCs w:val="32"/>
        </w:rPr>
      </w:pPr>
    </w:p>
    <w:p>
      <w:pPr>
        <w:widowControl/>
        <w:spacing w:line="450" w:lineRule="atLeast"/>
        <w:jc w:val="left"/>
        <w:outlineLvl w:val="2"/>
        <w:rPr>
          <w:rFonts w:ascii="仿宋_GB2312" w:hAnsi="Arial" w:eastAsia="仿宋_GB2312" w:cs="Arial"/>
          <w:color w:val="000000" w:themeColor="text1"/>
          <w:kern w:val="0"/>
          <w:sz w:val="32"/>
          <w:szCs w:val="32"/>
        </w:rPr>
      </w:pPr>
    </w:p>
    <w:p>
      <w:pPr>
        <w:widowControl/>
        <w:spacing w:line="450" w:lineRule="atLeast"/>
        <w:jc w:val="left"/>
        <w:outlineLvl w:val="2"/>
        <w:rPr>
          <w:rFonts w:ascii="仿宋_GB2312" w:hAnsi="Arial" w:eastAsia="仿宋_GB2312" w:cs="Arial"/>
          <w:color w:val="000000" w:themeColor="text1"/>
          <w:kern w:val="0"/>
          <w:sz w:val="32"/>
          <w:szCs w:val="32"/>
        </w:rPr>
      </w:pPr>
    </w:p>
    <w:p>
      <w:pPr>
        <w:widowControl/>
        <w:spacing w:line="450" w:lineRule="atLeast"/>
        <w:jc w:val="left"/>
        <w:outlineLvl w:val="2"/>
        <w:rPr>
          <w:rFonts w:ascii="仿宋_GB2312" w:hAnsi="Arial" w:eastAsia="仿宋_GB2312" w:cs="Arial"/>
          <w:color w:val="000000" w:themeColor="text1"/>
          <w:kern w:val="0"/>
          <w:sz w:val="32"/>
          <w:szCs w:val="32"/>
        </w:rPr>
      </w:pPr>
    </w:p>
    <w:p>
      <w:pPr>
        <w:widowControl/>
        <w:spacing w:line="450" w:lineRule="atLeast"/>
        <w:jc w:val="left"/>
        <w:outlineLvl w:val="2"/>
        <w:rPr>
          <w:rFonts w:ascii="仿宋_GB2312" w:hAnsi="Arial" w:eastAsia="仿宋_GB2312" w:cs="Arial"/>
          <w:color w:val="000000" w:themeColor="text1"/>
          <w:kern w:val="0"/>
          <w:sz w:val="32"/>
          <w:szCs w:val="32"/>
        </w:rPr>
      </w:pPr>
    </w:p>
    <w:p>
      <w:pPr>
        <w:widowControl/>
        <w:spacing w:line="450" w:lineRule="atLeast"/>
        <w:jc w:val="left"/>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常德市扶贫开发办公室                 常德市财政局</w:t>
      </w:r>
    </w:p>
    <w:p>
      <w:pPr>
        <w:widowControl/>
        <w:spacing w:beforeLines="50"/>
        <w:ind w:firstLine="5120" w:firstLineChars="1600"/>
        <w:jc w:val="left"/>
        <w:outlineLvl w:val="2"/>
        <w:rPr>
          <w:rFonts w:hint="eastAsia" w:ascii="仿宋_GB2312" w:hAnsi="Arial" w:eastAsia="仿宋_GB2312" w:cs="Arial"/>
          <w:color w:val="000000" w:themeColor="text1"/>
          <w:kern w:val="0"/>
          <w:sz w:val="32"/>
          <w:szCs w:val="32"/>
        </w:rPr>
      </w:pPr>
    </w:p>
    <w:p>
      <w:pPr>
        <w:widowControl/>
        <w:spacing w:beforeLines="50"/>
        <w:ind w:firstLine="5120" w:firstLineChars="1600"/>
        <w:jc w:val="left"/>
        <w:outlineLvl w:val="2"/>
        <w:rPr>
          <w:rFonts w:hint="eastAsia" w:ascii="仿宋_GB2312" w:hAnsi="Arial" w:eastAsia="仿宋_GB2312" w:cs="Arial"/>
          <w:color w:val="000000" w:themeColor="text1"/>
          <w:kern w:val="0"/>
          <w:sz w:val="32"/>
          <w:szCs w:val="32"/>
        </w:rPr>
      </w:pPr>
    </w:p>
    <w:p>
      <w:pPr>
        <w:widowControl/>
        <w:spacing w:beforeLines="50"/>
        <w:ind w:firstLine="5760" w:firstLineChars="1800"/>
        <w:jc w:val="left"/>
        <w:outlineLvl w:val="2"/>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2018年</w:t>
      </w:r>
      <w:r>
        <w:rPr>
          <w:rFonts w:hint="eastAsia" w:ascii="仿宋_GB2312" w:hAnsi="Arial" w:eastAsia="仿宋_GB2312" w:cs="Arial"/>
          <w:color w:val="000000" w:themeColor="text1"/>
          <w:kern w:val="0"/>
          <w:sz w:val="32"/>
          <w:szCs w:val="32"/>
          <w:lang w:val="en-US" w:eastAsia="zh-CN"/>
        </w:rPr>
        <w:t>3</w:t>
      </w:r>
      <w:r>
        <w:rPr>
          <w:rFonts w:hint="eastAsia" w:ascii="仿宋_GB2312" w:hAnsi="Arial" w:eastAsia="仿宋_GB2312" w:cs="Arial"/>
          <w:color w:val="000000" w:themeColor="text1"/>
          <w:kern w:val="0"/>
          <w:sz w:val="32"/>
          <w:szCs w:val="32"/>
        </w:rPr>
        <w:t>月</w:t>
      </w:r>
      <w:r>
        <w:rPr>
          <w:rFonts w:hint="eastAsia" w:ascii="仿宋_GB2312" w:hAnsi="Arial" w:eastAsia="仿宋_GB2312" w:cs="Arial"/>
          <w:color w:val="000000" w:themeColor="text1"/>
          <w:kern w:val="0"/>
          <w:sz w:val="32"/>
          <w:szCs w:val="32"/>
          <w:lang w:val="en-US" w:eastAsia="zh-CN"/>
        </w:rPr>
        <w:t>12</w:t>
      </w:r>
      <w:r>
        <w:rPr>
          <w:rFonts w:hint="eastAsia" w:ascii="仿宋_GB2312" w:hAnsi="Arial" w:eastAsia="仿宋_GB2312" w:cs="Arial"/>
          <w:color w:val="000000" w:themeColor="text1"/>
          <w:kern w:val="0"/>
          <w:sz w:val="32"/>
          <w:szCs w:val="32"/>
        </w:rPr>
        <w:t>日</w:t>
      </w: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hint="eastAsia" w:ascii="方正小标宋简体" w:hAnsi="微软雅黑" w:eastAsia="方正小标宋简体" w:cs="宋体"/>
          <w:bCs/>
          <w:color w:val="000000" w:themeColor="text1"/>
          <w:kern w:val="0"/>
          <w:sz w:val="36"/>
          <w:szCs w:val="36"/>
        </w:rPr>
      </w:pPr>
    </w:p>
    <w:p>
      <w:pPr>
        <w:widowControl/>
        <w:spacing w:line="450" w:lineRule="atLeast"/>
        <w:outlineLvl w:val="2"/>
        <w:rPr>
          <w:rFonts w:hint="eastAsia"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p>
      <w:pPr>
        <w:widowControl/>
        <w:spacing w:line="450" w:lineRule="atLeast"/>
        <w:outlineLvl w:val="2"/>
        <w:rPr>
          <w:rFonts w:ascii="方正小标宋简体" w:hAnsi="微软雅黑" w:eastAsia="方正小标宋简体" w:cs="宋体"/>
          <w:bCs/>
          <w:color w:val="000000" w:themeColor="text1"/>
          <w:kern w:val="0"/>
          <w:sz w:val="36"/>
          <w:szCs w:val="36"/>
        </w:rPr>
      </w:pPr>
    </w:p>
    <w:tbl>
      <w:tblPr>
        <w:tblStyle w:val="11"/>
        <w:tblpPr w:leftFromText="180" w:rightFromText="180" w:vertAnchor="text" w:horzAnchor="margin" w:tblpY="203"/>
        <w:tblW w:w="852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28" w:type="dxa"/>
            <w:tcBorders>
              <w:top w:val="single" w:color="auto" w:sz="8" w:space="0"/>
            </w:tcBorders>
          </w:tcPr>
          <w:p>
            <w:pPr>
              <w:widowControl/>
              <w:spacing w:line="450" w:lineRule="atLeast"/>
              <w:outlineLvl w:val="2"/>
              <w:rPr>
                <w:rFonts w:ascii="仿宋" w:hAnsi="仿宋" w:eastAsia="仿宋" w:cs="宋体"/>
                <w:bCs/>
                <w:color w:val="000000" w:themeColor="text1"/>
                <w:kern w:val="0"/>
                <w:sz w:val="28"/>
                <w:szCs w:val="28"/>
              </w:rPr>
            </w:pPr>
            <w:r>
              <w:rPr>
                <w:rFonts w:hint="eastAsia" w:ascii="仿宋" w:hAnsi="仿宋" w:eastAsia="仿宋" w:cs="宋体"/>
                <w:bCs/>
                <w:color w:val="000000" w:themeColor="text1"/>
                <w:kern w:val="0"/>
                <w:sz w:val="28"/>
                <w:szCs w:val="28"/>
              </w:rPr>
              <w:t xml:space="preserve">  常德市残疾人联合会办公室             2018年</w:t>
            </w:r>
            <w:r>
              <w:rPr>
                <w:rFonts w:hint="eastAsia" w:ascii="仿宋" w:hAnsi="仿宋" w:eastAsia="仿宋" w:cs="宋体"/>
                <w:bCs/>
                <w:color w:val="000000" w:themeColor="text1"/>
                <w:kern w:val="0"/>
                <w:sz w:val="28"/>
                <w:szCs w:val="28"/>
                <w:lang w:val="en-US" w:eastAsia="zh-CN"/>
              </w:rPr>
              <w:t>3</w:t>
            </w:r>
            <w:r>
              <w:rPr>
                <w:rFonts w:hint="eastAsia" w:ascii="仿宋" w:hAnsi="仿宋" w:eastAsia="仿宋" w:cs="宋体"/>
                <w:bCs/>
                <w:color w:val="000000" w:themeColor="text1"/>
                <w:kern w:val="0"/>
                <w:sz w:val="28"/>
                <w:szCs w:val="28"/>
              </w:rPr>
              <w:t>月</w:t>
            </w:r>
            <w:r>
              <w:rPr>
                <w:rFonts w:hint="eastAsia" w:ascii="仿宋" w:hAnsi="仿宋" w:eastAsia="仿宋" w:cs="宋体"/>
                <w:bCs/>
                <w:color w:val="000000" w:themeColor="text1"/>
                <w:kern w:val="0"/>
                <w:sz w:val="28"/>
                <w:szCs w:val="28"/>
                <w:lang w:val="en-US" w:eastAsia="zh-CN"/>
              </w:rPr>
              <w:t>12</w:t>
            </w:r>
            <w:r>
              <w:rPr>
                <w:rFonts w:hint="eastAsia" w:ascii="仿宋" w:hAnsi="仿宋" w:eastAsia="仿宋" w:cs="宋体"/>
                <w:bCs/>
                <w:color w:val="000000" w:themeColor="text1"/>
                <w:kern w:val="0"/>
                <w:sz w:val="28"/>
                <w:szCs w:val="28"/>
              </w:rPr>
              <w:t>日印发</w:t>
            </w:r>
          </w:p>
        </w:tc>
      </w:tr>
    </w:tbl>
    <w:p>
      <w:pPr>
        <w:widowControl/>
        <w:spacing w:line="600" w:lineRule="exact"/>
        <w:outlineLvl w:val="2"/>
        <w:rPr>
          <w:rFonts w:ascii="方正小标宋简体" w:hAnsi="微软雅黑" w:eastAsia="方正小标宋简体" w:cs="宋体"/>
          <w:bCs/>
          <w:color w:val="000000" w:themeColor="text1"/>
          <w:kern w:val="0"/>
          <w:sz w:val="44"/>
          <w:szCs w:val="44"/>
        </w:rPr>
      </w:pPr>
    </w:p>
    <w:p>
      <w:pPr>
        <w:widowControl/>
        <w:spacing w:line="600" w:lineRule="exact"/>
        <w:jc w:val="both"/>
        <w:outlineLvl w:val="2"/>
        <w:rPr>
          <w:rFonts w:hint="eastAsia" w:ascii="方正小标宋简体" w:hAnsi="微软雅黑" w:eastAsia="方正小标宋简体" w:cs="宋体"/>
          <w:bCs/>
          <w:color w:val="000000" w:themeColor="text1"/>
          <w:kern w:val="0"/>
          <w:sz w:val="44"/>
          <w:szCs w:val="44"/>
        </w:rPr>
      </w:pPr>
    </w:p>
    <w:p>
      <w:pPr>
        <w:widowControl/>
        <w:spacing w:line="600" w:lineRule="exact"/>
        <w:jc w:val="center"/>
        <w:outlineLvl w:val="2"/>
        <w:rPr>
          <w:rFonts w:ascii="方正小标宋简体" w:hAnsi="微软雅黑" w:eastAsia="方正小标宋简体" w:cs="宋体"/>
          <w:bCs/>
          <w:color w:val="000000" w:themeColor="text1"/>
          <w:kern w:val="0"/>
          <w:sz w:val="44"/>
          <w:szCs w:val="44"/>
        </w:rPr>
      </w:pPr>
      <w:r>
        <w:rPr>
          <w:rFonts w:hint="eastAsia" w:ascii="方正小标宋简体" w:hAnsi="微软雅黑" w:eastAsia="方正小标宋简体" w:cs="宋体"/>
          <w:bCs/>
          <w:color w:val="000000" w:themeColor="text1"/>
          <w:kern w:val="0"/>
          <w:sz w:val="44"/>
          <w:szCs w:val="44"/>
        </w:rPr>
        <w:t>常德市电子商务助残扶贫工程行动方案（2017-2020年）</w:t>
      </w:r>
    </w:p>
    <w:p>
      <w:pPr>
        <w:widowControl/>
        <w:spacing w:line="600" w:lineRule="exact"/>
        <w:ind w:firstLine="600"/>
        <w:jc w:val="left"/>
        <w:rPr>
          <w:rFonts w:ascii="Arial" w:hAnsi="Arial" w:eastAsia="宋体" w:cs="Arial"/>
          <w:color w:val="000000" w:themeColor="text1"/>
          <w:kern w:val="0"/>
          <w:sz w:val="30"/>
          <w:szCs w:val="30"/>
        </w:rPr>
      </w:pPr>
    </w:p>
    <w:p>
      <w:pPr>
        <w:widowControl/>
        <w:spacing w:line="600" w:lineRule="exact"/>
        <w:ind w:firstLine="600" w:firstLineChars="200"/>
        <w:jc w:val="left"/>
        <w:outlineLvl w:val="2"/>
        <w:rPr>
          <w:rFonts w:ascii="仿宋" w:hAnsi="仿宋" w:eastAsia="仿宋" w:cs="Arial"/>
          <w:color w:val="000000" w:themeColor="text1"/>
          <w:kern w:val="0"/>
          <w:sz w:val="30"/>
          <w:szCs w:val="30"/>
        </w:rPr>
      </w:pPr>
      <w:r>
        <w:rPr>
          <w:rFonts w:hint="eastAsia" w:ascii="仿宋" w:hAnsi="仿宋" w:eastAsia="仿宋" w:cs="Arial"/>
          <w:color w:val="000000" w:themeColor="text1"/>
          <w:kern w:val="0"/>
          <w:sz w:val="30"/>
          <w:szCs w:val="30"/>
        </w:rPr>
        <w:t>为贯彻落实省委省政府《关于深入贯彻〈中共中央国务院关于打赢脱贫攻坚战的决定〉的实施意见》（湘发〔2016〕7号）等文件要求，根据</w:t>
      </w:r>
      <w:r>
        <w:rPr>
          <w:rFonts w:hint="eastAsia" w:ascii="仿宋" w:hAnsi="仿宋" w:eastAsia="仿宋" w:cs="Arial"/>
          <w:color w:val="000000" w:themeColor="text1"/>
          <w:kern w:val="0"/>
          <w:sz w:val="30"/>
          <w:szCs w:val="30"/>
          <w:lang w:val="en-US" w:eastAsia="zh-CN"/>
        </w:rPr>
        <w:t>省</w:t>
      </w:r>
      <w:r>
        <w:rPr>
          <w:rFonts w:hint="eastAsia" w:ascii="仿宋" w:hAnsi="仿宋" w:eastAsia="仿宋" w:cs="Arial"/>
          <w:color w:val="000000" w:themeColor="text1"/>
          <w:kern w:val="0"/>
          <w:sz w:val="30"/>
          <w:szCs w:val="30"/>
        </w:rPr>
        <w:t>残联、</w:t>
      </w:r>
      <w:r>
        <w:rPr>
          <w:rFonts w:hint="eastAsia" w:ascii="仿宋" w:hAnsi="仿宋" w:eastAsia="仿宋" w:cs="Arial"/>
          <w:color w:val="000000" w:themeColor="text1"/>
          <w:kern w:val="0"/>
          <w:sz w:val="30"/>
          <w:szCs w:val="30"/>
          <w:lang w:val="en-US" w:eastAsia="zh-CN"/>
        </w:rPr>
        <w:t>省</w:t>
      </w:r>
      <w:r>
        <w:rPr>
          <w:rFonts w:hint="eastAsia" w:ascii="仿宋" w:hAnsi="仿宋" w:eastAsia="仿宋" w:cs="Arial"/>
          <w:color w:val="000000" w:themeColor="text1"/>
          <w:kern w:val="0"/>
          <w:sz w:val="30"/>
          <w:szCs w:val="30"/>
        </w:rPr>
        <w:t>商务</w:t>
      </w:r>
      <w:r>
        <w:rPr>
          <w:rFonts w:hint="eastAsia" w:ascii="仿宋" w:hAnsi="仿宋" w:eastAsia="仿宋" w:cs="Arial"/>
          <w:color w:val="000000" w:themeColor="text1"/>
          <w:kern w:val="0"/>
          <w:sz w:val="30"/>
          <w:szCs w:val="30"/>
          <w:lang w:val="en-US" w:eastAsia="zh-CN"/>
        </w:rPr>
        <w:t>厅</w:t>
      </w:r>
      <w:r>
        <w:rPr>
          <w:rFonts w:hint="eastAsia" w:ascii="仿宋" w:hAnsi="仿宋" w:eastAsia="仿宋" w:cs="Arial"/>
          <w:color w:val="000000" w:themeColor="text1"/>
          <w:kern w:val="0"/>
          <w:sz w:val="30"/>
          <w:szCs w:val="30"/>
        </w:rPr>
        <w:t>、</w:t>
      </w:r>
      <w:r>
        <w:rPr>
          <w:rFonts w:hint="eastAsia" w:ascii="仿宋" w:hAnsi="仿宋" w:eastAsia="仿宋" w:cs="Arial"/>
          <w:color w:val="000000" w:themeColor="text1"/>
          <w:kern w:val="0"/>
          <w:sz w:val="30"/>
          <w:szCs w:val="30"/>
          <w:lang w:val="en-US" w:eastAsia="zh-CN"/>
        </w:rPr>
        <w:t>省</w:t>
      </w:r>
      <w:r>
        <w:rPr>
          <w:rFonts w:hint="eastAsia" w:ascii="仿宋" w:hAnsi="仿宋" w:eastAsia="仿宋" w:cs="Arial"/>
          <w:color w:val="000000" w:themeColor="text1"/>
          <w:kern w:val="0"/>
          <w:sz w:val="30"/>
          <w:szCs w:val="30"/>
        </w:rPr>
        <w:t>扶贫办</w:t>
      </w:r>
      <w:r>
        <w:rPr>
          <w:rFonts w:hint="eastAsia" w:ascii="仿宋" w:hAnsi="仿宋" w:eastAsia="仿宋" w:cs="Arial"/>
          <w:color w:val="000000" w:themeColor="text1"/>
          <w:kern w:val="0"/>
          <w:sz w:val="30"/>
          <w:szCs w:val="30"/>
          <w:lang w:eastAsia="zh-CN"/>
        </w:rPr>
        <w:t>、</w:t>
      </w:r>
      <w:r>
        <w:rPr>
          <w:rFonts w:hint="eastAsia" w:ascii="仿宋" w:hAnsi="仿宋" w:eastAsia="仿宋" w:cs="Arial"/>
          <w:color w:val="000000" w:themeColor="text1"/>
          <w:kern w:val="0"/>
          <w:sz w:val="30"/>
          <w:szCs w:val="30"/>
          <w:lang w:val="en-US" w:eastAsia="zh-CN"/>
        </w:rPr>
        <w:t>省财政厅</w:t>
      </w:r>
      <w:r>
        <w:rPr>
          <w:rFonts w:hint="eastAsia" w:ascii="仿宋" w:hAnsi="仿宋" w:eastAsia="仿宋" w:cs="Arial"/>
          <w:color w:val="000000" w:themeColor="text1"/>
          <w:kern w:val="0"/>
          <w:sz w:val="30"/>
          <w:szCs w:val="30"/>
        </w:rPr>
        <w:t>《关于印发&lt;</w:t>
      </w:r>
      <w:r>
        <w:rPr>
          <w:rFonts w:hint="eastAsia" w:ascii="仿宋" w:hAnsi="仿宋" w:eastAsia="仿宋" w:cs="Arial"/>
          <w:color w:val="000000" w:themeColor="text1"/>
          <w:kern w:val="0"/>
          <w:sz w:val="30"/>
          <w:szCs w:val="30"/>
          <w:lang w:val="en-US" w:eastAsia="zh-CN"/>
        </w:rPr>
        <w:t>湖南省</w:t>
      </w:r>
      <w:r>
        <w:rPr>
          <w:rFonts w:hint="eastAsia" w:ascii="仿宋" w:hAnsi="仿宋" w:eastAsia="仿宋" w:cs="Arial"/>
          <w:color w:val="000000" w:themeColor="text1"/>
          <w:kern w:val="0"/>
          <w:sz w:val="30"/>
          <w:szCs w:val="30"/>
        </w:rPr>
        <w:t>电子商务助残扶贫行动实施方案&gt;的通知》</w:t>
      </w:r>
      <w:r>
        <w:rPr>
          <w:rFonts w:hint="eastAsia" w:ascii="仿宋" w:hAnsi="仿宋" w:eastAsia="仿宋" w:cs="Arial"/>
          <w:color w:val="000000" w:themeColor="text1"/>
          <w:kern w:val="0"/>
          <w:sz w:val="30"/>
          <w:szCs w:val="30"/>
          <w:lang w:val="en-US" w:eastAsia="zh-CN"/>
        </w:rPr>
        <w:t>精神，</w:t>
      </w:r>
      <w:r>
        <w:rPr>
          <w:rFonts w:hint="eastAsia" w:ascii="仿宋" w:hAnsi="仿宋" w:eastAsia="仿宋" w:cs="Arial"/>
          <w:color w:val="000000" w:themeColor="text1"/>
          <w:kern w:val="0"/>
          <w:sz w:val="30"/>
          <w:szCs w:val="30"/>
        </w:rPr>
        <w:t>结合我市残疾人精准扶贫工作实际，制定本方案。</w:t>
      </w:r>
    </w:p>
    <w:p>
      <w:pPr>
        <w:widowControl/>
        <w:spacing w:line="600" w:lineRule="exact"/>
        <w:ind w:firstLine="600"/>
        <w:jc w:val="left"/>
        <w:rPr>
          <w:rFonts w:ascii="黑体" w:hAnsi="黑体" w:eastAsia="黑体" w:cs="Arial"/>
          <w:color w:val="000000" w:themeColor="text1"/>
          <w:kern w:val="0"/>
          <w:sz w:val="30"/>
          <w:szCs w:val="30"/>
        </w:rPr>
      </w:pPr>
      <w:r>
        <w:rPr>
          <w:rFonts w:hint="eastAsia" w:ascii="黑体" w:hAnsi="黑体" w:eastAsia="黑体" w:cs="Arial"/>
          <w:color w:val="000000" w:themeColor="text1"/>
          <w:kern w:val="0"/>
          <w:sz w:val="30"/>
          <w:szCs w:val="30"/>
        </w:rPr>
        <w:t>一、指导思想</w:t>
      </w:r>
    </w:p>
    <w:p>
      <w:pPr>
        <w:widowControl/>
        <w:spacing w:line="600" w:lineRule="exact"/>
        <w:ind w:firstLine="600" w:firstLineChars="200"/>
        <w:jc w:val="left"/>
        <w:outlineLvl w:val="2"/>
        <w:rPr>
          <w:rFonts w:ascii="仿宋" w:hAnsi="仿宋" w:eastAsia="仿宋" w:cs="Arial"/>
          <w:color w:val="000000" w:themeColor="text1"/>
          <w:kern w:val="0"/>
          <w:sz w:val="30"/>
          <w:szCs w:val="30"/>
        </w:rPr>
      </w:pPr>
      <w:r>
        <w:rPr>
          <w:rFonts w:hint="eastAsia" w:ascii="仿宋" w:hAnsi="仿宋" w:eastAsia="仿宋" w:cs="Arial"/>
          <w:color w:val="000000" w:themeColor="text1"/>
          <w:kern w:val="0"/>
          <w:sz w:val="30"/>
          <w:szCs w:val="30"/>
        </w:rPr>
        <w:t>坚持精准扶贫、精准脱贫战略思想，以服务建档立卡贫困残疾人家庭为重点，不断提升残疾人利用电子商务创业就业能力，拓宽残疾人阳光致富带头人、残疾人就业扶贫基地特色优质产品销售渠道，促进带动贫困残疾人家庭增收。</w:t>
      </w:r>
    </w:p>
    <w:p>
      <w:pPr>
        <w:widowControl/>
        <w:spacing w:line="600" w:lineRule="exact"/>
        <w:ind w:firstLine="600"/>
        <w:jc w:val="left"/>
        <w:rPr>
          <w:rFonts w:ascii="黑体" w:hAnsi="黑体" w:eastAsia="黑体" w:cs="Arial"/>
          <w:color w:val="000000" w:themeColor="text1"/>
          <w:kern w:val="0"/>
          <w:sz w:val="30"/>
          <w:szCs w:val="30"/>
        </w:rPr>
      </w:pPr>
      <w:r>
        <w:rPr>
          <w:rFonts w:hint="eastAsia" w:ascii="黑体" w:hAnsi="黑体" w:eastAsia="黑体" w:cs="Arial"/>
          <w:color w:val="000000" w:themeColor="text1"/>
          <w:kern w:val="0"/>
          <w:sz w:val="30"/>
          <w:szCs w:val="30"/>
        </w:rPr>
        <w:t>二、任务目标</w:t>
      </w:r>
    </w:p>
    <w:p>
      <w:pPr>
        <w:widowControl/>
        <w:spacing w:line="600" w:lineRule="exact"/>
        <w:ind w:firstLine="600" w:firstLineChars="200"/>
        <w:jc w:val="left"/>
        <w:outlineLvl w:val="2"/>
        <w:rPr>
          <w:rFonts w:ascii="仿宋" w:hAnsi="仿宋" w:eastAsia="仿宋" w:cs="Arial"/>
          <w:color w:val="000000" w:themeColor="text1"/>
          <w:kern w:val="0"/>
          <w:sz w:val="30"/>
          <w:szCs w:val="30"/>
        </w:rPr>
      </w:pPr>
      <w:r>
        <w:rPr>
          <w:rFonts w:ascii="仿宋" w:hAnsi="仿宋" w:eastAsia="仿宋" w:cs="Arial"/>
          <w:color w:val="000000" w:themeColor="text1"/>
          <w:kern w:val="0"/>
          <w:sz w:val="30"/>
          <w:szCs w:val="30"/>
        </w:rPr>
        <w:t>到2020年</w:t>
      </w:r>
      <w:r>
        <w:rPr>
          <w:rFonts w:hint="eastAsia" w:ascii="仿宋" w:hAnsi="仿宋" w:eastAsia="仿宋" w:cs="Arial"/>
          <w:color w:val="000000" w:themeColor="text1"/>
          <w:kern w:val="0"/>
          <w:sz w:val="30"/>
          <w:szCs w:val="30"/>
        </w:rPr>
        <w:t>，对</w:t>
      </w:r>
      <w:r>
        <w:rPr>
          <w:rFonts w:hint="eastAsia" w:ascii="仿宋" w:hAnsi="仿宋" w:eastAsia="仿宋" w:cs="Arial"/>
          <w:color w:val="000000" w:themeColor="text1"/>
          <w:kern w:val="0"/>
          <w:sz w:val="30"/>
          <w:szCs w:val="30"/>
          <w:lang w:val="en-US" w:eastAsia="zh-CN"/>
        </w:rPr>
        <w:t>70</w:t>
      </w:r>
      <w:r>
        <w:rPr>
          <w:rFonts w:ascii="仿宋" w:hAnsi="仿宋" w:eastAsia="仿宋" w:cs="Arial"/>
          <w:color w:val="000000" w:themeColor="text1"/>
          <w:kern w:val="0"/>
          <w:sz w:val="30"/>
          <w:szCs w:val="30"/>
        </w:rPr>
        <w:t>名残疾人</w:t>
      </w:r>
      <w:r>
        <w:rPr>
          <w:rFonts w:hint="eastAsia" w:ascii="仿宋" w:hAnsi="仿宋" w:eastAsia="仿宋" w:cs="Arial"/>
          <w:color w:val="000000" w:themeColor="text1"/>
          <w:kern w:val="0"/>
          <w:sz w:val="30"/>
          <w:szCs w:val="30"/>
        </w:rPr>
        <w:t>开展</w:t>
      </w:r>
      <w:r>
        <w:rPr>
          <w:rFonts w:ascii="仿宋" w:hAnsi="仿宋" w:eastAsia="仿宋" w:cs="Arial"/>
          <w:color w:val="000000" w:themeColor="text1"/>
          <w:kern w:val="0"/>
          <w:sz w:val="30"/>
          <w:szCs w:val="30"/>
        </w:rPr>
        <w:t>电商</w:t>
      </w:r>
      <w:r>
        <w:rPr>
          <w:rFonts w:hint="eastAsia" w:ascii="仿宋" w:hAnsi="仿宋" w:eastAsia="仿宋" w:cs="Arial"/>
          <w:color w:val="000000" w:themeColor="text1"/>
          <w:kern w:val="0"/>
          <w:sz w:val="30"/>
          <w:szCs w:val="30"/>
        </w:rPr>
        <w:t>就业创业技能</w:t>
      </w:r>
      <w:r>
        <w:rPr>
          <w:rFonts w:ascii="仿宋" w:hAnsi="仿宋" w:eastAsia="仿宋" w:cs="Arial"/>
          <w:color w:val="000000" w:themeColor="text1"/>
          <w:kern w:val="0"/>
          <w:sz w:val="30"/>
          <w:szCs w:val="30"/>
        </w:rPr>
        <w:t>培训</w:t>
      </w:r>
      <w:r>
        <w:rPr>
          <w:rFonts w:hint="eastAsia" w:ascii="仿宋" w:hAnsi="仿宋" w:eastAsia="仿宋" w:cs="Arial"/>
          <w:color w:val="000000" w:themeColor="text1"/>
          <w:kern w:val="0"/>
          <w:sz w:val="30"/>
          <w:szCs w:val="30"/>
        </w:rPr>
        <w:t>，培养</w:t>
      </w:r>
      <w:r>
        <w:rPr>
          <w:rFonts w:hint="eastAsia" w:ascii="仿宋" w:hAnsi="仿宋" w:eastAsia="仿宋" w:cs="Arial"/>
          <w:color w:val="000000" w:themeColor="text1"/>
          <w:kern w:val="0"/>
          <w:sz w:val="30"/>
          <w:szCs w:val="30"/>
          <w:lang w:val="en-US" w:eastAsia="zh-CN"/>
        </w:rPr>
        <w:t>10</w:t>
      </w:r>
      <w:r>
        <w:rPr>
          <w:rFonts w:hint="eastAsia" w:ascii="仿宋" w:hAnsi="仿宋" w:eastAsia="仿宋" w:cs="Arial"/>
          <w:color w:val="000000" w:themeColor="text1"/>
          <w:kern w:val="0"/>
          <w:sz w:val="30"/>
          <w:szCs w:val="30"/>
        </w:rPr>
        <w:t>名农村残疾人电商致富带头人，辐射带动</w:t>
      </w:r>
      <w:r>
        <w:rPr>
          <w:rFonts w:hint="eastAsia" w:ascii="仿宋" w:hAnsi="仿宋" w:eastAsia="仿宋" w:cs="Arial"/>
          <w:color w:val="000000" w:themeColor="text1"/>
          <w:kern w:val="0"/>
          <w:sz w:val="30"/>
          <w:szCs w:val="30"/>
          <w:lang w:val="en-US" w:eastAsia="zh-CN"/>
        </w:rPr>
        <w:t>100</w:t>
      </w:r>
      <w:r>
        <w:rPr>
          <w:rFonts w:hint="eastAsia" w:ascii="仿宋" w:hAnsi="仿宋" w:eastAsia="仿宋" w:cs="Arial"/>
          <w:color w:val="000000" w:themeColor="text1"/>
          <w:kern w:val="0"/>
          <w:sz w:val="30"/>
          <w:szCs w:val="30"/>
        </w:rPr>
        <w:t>名贫困残疾人家庭在电商产业链上实现就业创业增收。依托各级残疾人创业孵化基地及电商基地，为残疾人电商创业提供孵化服务，为有需求的建档立卡残疾人贫困户、残疾人阳光致富示范户、带头人及就业扶贫基地提供电商运营延伸服务。鼓励引导各大电商平台，建立电商扶贫助残农产品直采基地，集中展销残疾人创业扶贫成果。</w:t>
      </w:r>
    </w:p>
    <w:p>
      <w:pPr>
        <w:widowControl/>
        <w:spacing w:line="600" w:lineRule="exact"/>
        <w:ind w:firstLine="600"/>
        <w:jc w:val="left"/>
        <w:rPr>
          <w:rFonts w:ascii="黑体" w:hAnsi="黑体" w:eastAsia="黑体" w:cs="Arial"/>
          <w:color w:val="000000" w:themeColor="text1"/>
          <w:kern w:val="0"/>
          <w:sz w:val="30"/>
          <w:szCs w:val="30"/>
        </w:rPr>
      </w:pPr>
      <w:r>
        <w:rPr>
          <w:rFonts w:hint="eastAsia" w:ascii="黑体" w:hAnsi="黑体" w:eastAsia="黑体" w:cs="Arial"/>
          <w:color w:val="000000" w:themeColor="text1"/>
          <w:kern w:val="0"/>
          <w:sz w:val="30"/>
          <w:szCs w:val="30"/>
        </w:rPr>
        <w:t>三、扶持措施</w:t>
      </w:r>
    </w:p>
    <w:p>
      <w:pPr>
        <w:widowControl/>
        <w:spacing w:line="600" w:lineRule="exact"/>
        <w:ind w:firstLine="600" w:firstLineChars="200"/>
        <w:jc w:val="left"/>
        <w:outlineLvl w:val="2"/>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（一）开展残疾人电商就业创业技能培训。</w:t>
      </w:r>
      <w:r>
        <w:rPr>
          <w:rFonts w:hint="eastAsia" w:ascii="仿宋" w:hAnsi="仿宋" w:eastAsia="仿宋" w:cs="Arial"/>
          <w:color w:val="000000" w:themeColor="text1"/>
          <w:kern w:val="0"/>
          <w:sz w:val="30"/>
          <w:szCs w:val="30"/>
        </w:rPr>
        <w:t>将残疾人电商就业创业技能培训纳入全市各级残联、商务、扶贫等主管部门的年度培训计划，依托电商企业、职业院校和培训机构，面向建档立卡残疾人及其家庭成员、残疾人专职委员开展电商培训。建立市、县</w:t>
      </w:r>
      <w:r>
        <w:rPr>
          <w:rFonts w:hint="eastAsia" w:ascii="仿宋" w:hAnsi="仿宋" w:eastAsia="仿宋" w:cs="Arial"/>
          <w:color w:val="000000" w:themeColor="text1"/>
          <w:kern w:val="0"/>
          <w:sz w:val="30"/>
          <w:szCs w:val="30"/>
          <w:lang w:val="en-US" w:eastAsia="zh-CN"/>
        </w:rPr>
        <w:t>两</w:t>
      </w:r>
      <w:r>
        <w:rPr>
          <w:rFonts w:hint="eastAsia" w:ascii="仿宋" w:hAnsi="仿宋" w:eastAsia="仿宋" w:cs="Arial"/>
          <w:color w:val="000000" w:themeColor="text1"/>
          <w:kern w:val="0"/>
          <w:sz w:val="30"/>
          <w:szCs w:val="30"/>
        </w:rPr>
        <w:t>级相互衔接、各有侧重的残疾人电商就业创业技能培训体系，县市区负责抓好残疾人电子商务基础知识培训，重点帮助残疾人掌握网上开店、网店装修、客服、运营推广、图片处理等基础知识培训；市</w:t>
      </w:r>
      <w:r>
        <w:rPr>
          <w:rFonts w:hint="eastAsia" w:ascii="仿宋" w:hAnsi="仿宋" w:eastAsia="仿宋" w:cs="Arial"/>
          <w:color w:val="000000" w:themeColor="text1"/>
          <w:kern w:val="0"/>
          <w:sz w:val="30"/>
          <w:szCs w:val="30"/>
          <w:lang w:val="en-US" w:eastAsia="zh-CN"/>
        </w:rPr>
        <w:t>本级</w:t>
      </w:r>
      <w:r>
        <w:rPr>
          <w:rFonts w:hint="eastAsia" w:ascii="仿宋" w:hAnsi="仿宋" w:eastAsia="仿宋" w:cs="Arial"/>
          <w:color w:val="000000" w:themeColor="text1"/>
          <w:kern w:val="0"/>
          <w:sz w:val="30"/>
          <w:szCs w:val="30"/>
        </w:rPr>
        <w:t>负责联合各大电商平台开展网店开办、运营等技巧技能培训，重点帮助残疾人独立开办网店并提升运用电子商务平台增加收入的能力。大力提高培训的针对性和有效性，对创办或管理电商企业的残疾人，重点开展互联网技术、企业管理、经营销售等培训；对从事网店经营的残疾人，重点开展商品推广、经营管理、权益维护等培训；对在电商企业、电商平台就业的残疾人，重点开展计算机操作能力、岗位技能提升等培训；对想通过电商平台创业的残疾人，重点开展网店注册、商品（服务）购买、网银支付等培训。</w:t>
      </w:r>
      <w:r>
        <w:rPr>
          <w:rFonts w:hint="eastAsia" w:ascii="仿宋" w:hAnsi="仿宋" w:eastAsia="仿宋" w:cs="Arial"/>
          <w:color w:val="000000" w:themeColor="text1"/>
          <w:kern w:val="0"/>
          <w:sz w:val="30"/>
          <w:szCs w:val="30"/>
          <w:lang w:val="en-US" w:eastAsia="zh-CN"/>
        </w:rPr>
        <w:t>县市区</w:t>
      </w:r>
      <w:r>
        <w:rPr>
          <w:rFonts w:hint="eastAsia" w:ascii="仿宋" w:hAnsi="仿宋" w:eastAsia="仿宋" w:cs="Arial"/>
          <w:color w:val="000000" w:themeColor="text1"/>
          <w:kern w:val="0"/>
          <w:sz w:val="30"/>
          <w:szCs w:val="30"/>
        </w:rPr>
        <w:t>残联应加强资源整合，积极协调人社部门，将残疾人电商培训纳入人社部门年度培训计划，集中组织开展残疾人电商培训并按规定落实相关补贴政策。鼓励残疾人自主参加培训，符合《湖南省残疾人培训实施办法(试行)》规定条件的残疾人参加社会收费培训、获得人社部门认可的互联网与电子通信类职业资格的，可凭职业资格证书提出申请，由县级残联比照《湖南省职业培训补贴标准》给予补贴，但最高不得超过个人缴纳的部分。</w:t>
      </w:r>
    </w:p>
    <w:p>
      <w:pPr>
        <w:widowControl/>
        <w:spacing w:line="600" w:lineRule="exact"/>
        <w:ind w:firstLine="600" w:firstLineChars="200"/>
        <w:jc w:val="left"/>
        <w:outlineLvl w:val="2"/>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（二）培养农村残疾人电商阳光致富示范户和带头人。</w:t>
      </w:r>
      <w:r>
        <w:rPr>
          <w:rFonts w:hint="eastAsia" w:ascii="仿宋" w:hAnsi="仿宋" w:eastAsia="仿宋" w:cs="Arial"/>
          <w:color w:val="000000" w:themeColor="text1"/>
          <w:kern w:val="0"/>
          <w:sz w:val="30"/>
          <w:szCs w:val="30"/>
        </w:rPr>
        <w:t>鼓励残疾人通过电商创业，通过政策扶持、培训服务，支持已创业的残疾人电商网店或电商配套企业扩大规模，打造品牌；支持有电商相关专业知识和职业技能的残疾人开设网店或从事电商配套行业。鼓励残疾人依托自身特点和行业特色，将已在线下开设的如盲人按摩店、工艺品店或企业等向线上发展，在线上开设网店或设立电商企业；鼓励电商企业、电商产业基地利用自身网络技术、营销渠道、信息物流等优势，通过“公司（基地）+残疾人”的模式，直接吸纳残疾人从事电商相关工作岗位就业或者帮助残疾人创业。对依托电商产业创业，上一年度销售额10万元以上的残疾人，可申报评定为</w:t>
      </w:r>
      <w:r>
        <w:rPr>
          <w:rFonts w:hint="eastAsia" w:ascii="仿宋" w:hAnsi="仿宋" w:eastAsia="仿宋" w:cs="Arial"/>
          <w:color w:val="000000" w:themeColor="text1"/>
          <w:kern w:val="0"/>
          <w:sz w:val="30"/>
          <w:szCs w:val="30"/>
          <w:lang w:val="en-US" w:eastAsia="zh-CN"/>
        </w:rPr>
        <w:t>县级</w:t>
      </w:r>
      <w:r>
        <w:rPr>
          <w:rFonts w:hint="eastAsia" w:ascii="仿宋" w:hAnsi="仿宋" w:eastAsia="仿宋" w:cs="Arial"/>
          <w:color w:val="000000" w:themeColor="text1"/>
          <w:kern w:val="0"/>
          <w:sz w:val="30"/>
          <w:szCs w:val="30"/>
        </w:rPr>
        <w:t>残疾人阳光致富示范户，一次性给予</w:t>
      </w:r>
      <w:r>
        <w:rPr>
          <w:rFonts w:hint="eastAsia" w:ascii="仿宋" w:hAnsi="仿宋" w:eastAsia="仿宋" w:cs="Arial"/>
          <w:color w:val="000000" w:themeColor="text1"/>
          <w:kern w:val="0"/>
          <w:sz w:val="30"/>
          <w:szCs w:val="30"/>
          <w:lang w:val="en-US" w:eastAsia="zh-CN"/>
        </w:rPr>
        <w:t>10</w:t>
      </w:r>
      <w:r>
        <w:rPr>
          <w:rFonts w:hint="eastAsia" w:ascii="仿宋" w:hAnsi="仿宋" w:eastAsia="仿宋" w:cs="Arial"/>
          <w:color w:val="000000" w:themeColor="text1"/>
          <w:kern w:val="0"/>
          <w:sz w:val="30"/>
          <w:szCs w:val="30"/>
        </w:rPr>
        <w:t>000元电商创业扶持。稳定帮扶10户以上残疾人家庭产品上行，年销售额50万元以上的残疾人电商创业者可申报评定</w:t>
      </w:r>
      <w:r>
        <w:rPr>
          <w:rFonts w:hint="eastAsia" w:ascii="仿宋" w:hAnsi="仿宋" w:eastAsia="仿宋" w:cs="Arial"/>
          <w:color w:val="000000" w:themeColor="text1"/>
          <w:kern w:val="0"/>
          <w:sz w:val="30"/>
          <w:szCs w:val="30"/>
          <w:lang w:val="en-US" w:eastAsia="zh-CN"/>
        </w:rPr>
        <w:t>为市级</w:t>
      </w:r>
      <w:r>
        <w:rPr>
          <w:rFonts w:hint="eastAsia" w:ascii="仿宋" w:hAnsi="仿宋" w:eastAsia="仿宋" w:cs="Arial"/>
          <w:color w:val="000000" w:themeColor="text1"/>
          <w:kern w:val="0"/>
          <w:sz w:val="30"/>
          <w:szCs w:val="30"/>
        </w:rPr>
        <w:t>残疾人阳光</w:t>
      </w:r>
      <w:r>
        <w:rPr>
          <w:rFonts w:hint="eastAsia" w:ascii="仿宋" w:hAnsi="仿宋" w:eastAsia="仿宋" w:cs="Arial"/>
          <w:color w:val="000000" w:themeColor="text1"/>
          <w:kern w:val="0"/>
          <w:sz w:val="30"/>
          <w:szCs w:val="30"/>
          <w:lang w:val="en-US" w:eastAsia="zh-CN"/>
        </w:rPr>
        <w:t>扶贫示范基地</w:t>
      </w:r>
      <w:r>
        <w:rPr>
          <w:rFonts w:hint="eastAsia" w:ascii="仿宋" w:hAnsi="仿宋" w:eastAsia="仿宋" w:cs="Arial"/>
          <w:color w:val="000000" w:themeColor="text1"/>
          <w:kern w:val="0"/>
          <w:sz w:val="30"/>
          <w:szCs w:val="30"/>
        </w:rPr>
        <w:t>，一次性给予</w:t>
      </w:r>
      <w:r>
        <w:rPr>
          <w:rFonts w:hint="eastAsia" w:ascii="仿宋" w:hAnsi="仿宋" w:eastAsia="仿宋" w:cs="Arial"/>
          <w:color w:val="000000" w:themeColor="text1"/>
          <w:kern w:val="0"/>
          <w:sz w:val="30"/>
          <w:szCs w:val="30"/>
          <w:lang w:val="en-US" w:eastAsia="zh-CN"/>
        </w:rPr>
        <w:t>6</w:t>
      </w:r>
      <w:r>
        <w:rPr>
          <w:rFonts w:hint="eastAsia" w:ascii="仿宋" w:hAnsi="仿宋" w:eastAsia="仿宋" w:cs="Arial"/>
          <w:color w:val="000000" w:themeColor="text1"/>
          <w:kern w:val="0"/>
          <w:sz w:val="30"/>
          <w:szCs w:val="30"/>
        </w:rPr>
        <w:t>0000元电商创业扶持</w:t>
      </w:r>
      <w:r>
        <w:rPr>
          <w:rFonts w:hint="eastAsia" w:ascii="仿宋" w:hAnsi="仿宋" w:eastAsia="仿宋" w:cs="Arial"/>
          <w:color w:val="000000" w:themeColor="text1"/>
          <w:kern w:val="0"/>
          <w:sz w:val="30"/>
          <w:szCs w:val="30"/>
          <w:lang w:val="en-US" w:eastAsia="zh-CN"/>
        </w:rPr>
        <w:t>资金</w:t>
      </w:r>
      <w:r>
        <w:rPr>
          <w:rFonts w:hint="eastAsia" w:ascii="仿宋" w:hAnsi="仿宋" w:eastAsia="仿宋" w:cs="Arial"/>
          <w:color w:val="000000" w:themeColor="text1"/>
          <w:kern w:val="0"/>
          <w:sz w:val="30"/>
          <w:szCs w:val="30"/>
        </w:rPr>
        <w:t>。</w:t>
      </w:r>
    </w:p>
    <w:p>
      <w:pPr>
        <w:widowControl/>
        <w:spacing w:line="600" w:lineRule="exact"/>
        <w:ind w:firstLine="594" w:firstLineChars="198"/>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（三）提供电商助残孵化服务。</w:t>
      </w:r>
      <w:r>
        <w:rPr>
          <w:rFonts w:hint="eastAsia" w:ascii="仿宋" w:hAnsi="仿宋" w:eastAsia="仿宋" w:cs="Arial"/>
          <w:color w:val="000000" w:themeColor="text1"/>
          <w:kern w:val="0"/>
          <w:sz w:val="30"/>
          <w:szCs w:val="30"/>
        </w:rPr>
        <w:t>依托电商企业、创业孵化基地和其他各级各类创新创业孵化基地，为残疾大学生、中高职学生、残疾人创业者提供电商创业孵化服务。优先确定一批以残疾人扶贫农产品上行为主营业务的残疾人电商企业，通过采取政府购买服务的方式，委托第三方提供一对一帮扶和指导。</w:t>
      </w:r>
    </w:p>
    <w:p>
      <w:pPr>
        <w:widowControl/>
        <w:spacing w:line="600" w:lineRule="exact"/>
        <w:ind w:firstLine="594" w:firstLineChars="198"/>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（四）畅通电商扶贫助残产品直采直供渠道。</w:t>
      </w:r>
      <w:r>
        <w:rPr>
          <w:rFonts w:hint="eastAsia" w:ascii="仿宋" w:hAnsi="仿宋" w:eastAsia="仿宋" w:cs="Arial"/>
          <w:color w:val="000000" w:themeColor="text1"/>
          <w:kern w:val="0"/>
          <w:sz w:val="30"/>
          <w:szCs w:val="30"/>
        </w:rPr>
        <w:t>鼓励各大电商企业与各级残疾人阳光致富示范户、致富带头人、阳光就业扶贫基地建立产品合作供销关系，开展产品直采直供。</w:t>
      </w:r>
      <w:r>
        <w:rPr>
          <w:rFonts w:hint="eastAsia" w:ascii="仿宋" w:hAnsi="仿宋" w:eastAsia="仿宋" w:cs="Arial"/>
          <w:color w:val="000000" w:themeColor="text1"/>
          <w:kern w:val="0"/>
          <w:sz w:val="30"/>
          <w:szCs w:val="30"/>
          <w:lang w:val="en-US" w:eastAsia="zh-CN"/>
        </w:rPr>
        <w:t>市</w:t>
      </w:r>
      <w:r>
        <w:rPr>
          <w:rFonts w:hint="eastAsia" w:ascii="仿宋" w:hAnsi="仿宋" w:eastAsia="仿宋" w:cs="Arial"/>
          <w:color w:val="000000" w:themeColor="text1"/>
          <w:kern w:val="0"/>
          <w:sz w:val="30"/>
          <w:szCs w:val="30"/>
        </w:rPr>
        <w:t>残联对与10个以上残疾人阳光就业扶贫基地建立电商扶贫助残产品直采、直供合作关系的电商企业，纳入残疾人阳光扶贫基地给予扶持。</w:t>
      </w:r>
    </w:p>
    <w:p>
      <w:pPr>
        <w:widowControl/>
        <w:spacing w:line="600" w:lineRule="exact"/>
        <w:ind w:firstLine="594" w:firstLineChars="198"/>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（五）建设电商扶贫助残特产专区。</w:t>
      </w:r>
      <w:r>
        <w:rPr>
          <w:rFonts w:hint="eastAsia" w:ascii="仿宋" w:hAnsi="仿宋" w:eastAsia="仿宋" w:cs="仿宋"/>
          <w:b w:val="0"/>
          <w:bCs w:val="0"/>
          <w:color w:val="000000" w:themeColor="text1"/>
          <w:kern w:val="0"/>
          <w:sz w:val="30"/>
          <w:szCs w:val="30"/>
          <w:lang w:val="en-US" w:eastAsia="zh-CN"/>
        </w:rPr>
        <w:t>市县两</w:t>
      </w:r>
      <w:r>
        <w:rPr>
          <w:rFonts w:hint="eastAsia" w:ascii="仿宋" w:hAnsi="仿宋" w:eastAsia="仿宋" w:cs="Arial"/>
          <w:color w:val="000000" w:themeColor="text1"/>
          <w:kern w:val="0"/>
          <w:sz w:val="30"/>
          <w:szCs w:val="30"/>
        </w:rPr>
        <w:t>级商务、扶贫、残联部门要结合本地电商精准扶贫工作开展，组织一批贫困残疾人创业户、残疾人阳光就业扶贫基地就近入驻市区、县城、集镇的广场、超市等扶贫专卖区（店），并免收其摊位费和进场费、提供无障碍场地等合理便利。</w:t>
      </w:r>
      <w:r>
        <w:rPr>
          <w:rFonts w:hint="eastAsia" w:ascii="仿宋" w:hAnsi="仿宋" w:eastAsia="仿宋" w:cs="Arial"/>
          <w:color w:val="000000" w:themeColor="text1"/>
          <w:kern w:val="0"/>
          <w:sz w:val="30"/>
          <w:szCs w:val="30"/>
          <w:lang w:val="en-US" w:eastAsia="zh-CN"/>
        </w:rPr>
        <w:t>县市区残联要积极推荐本地符合条件的残疾人电商创业者、扶贫基地参加</w:t>
      </w:r>
      <w:r>
        <w:rPr>
          <w:rFonts w:hint="eastAsia" w:ascii="仿宋" w:hAnsi="仿宋" w:eastAsia="仿宋" w:cs="Arial"/>
          <w:color w:val="000000" w:themeColor="text1"/>
          <w:kern w:val="0"/>
          <w:sz w:val="30"/>
          <w:szCs w:val="30"/>
        </w:rPr>
        <w:t>省残联组织</w:t>
      </w:r>
      <w:r>
        <w:rPr>
          <w:rFonts w:hint="eastAsia" w:ascii="仿宋" w:hAnsi="仿宋" w:eastAsia="仿宋" w:cs="Arial"/>
          <w:color w:val="000000" w:themeColor="text1"/>
          <w:kern w:val="0"/>
          <w:sz w:val="30"/>
          <w:szCs w:val="30"/>
          <w:lang w:val="en-US" w:eastAsia="zh-CN"/>
        </w:rPr>
        <w:t>的</w:t>
      </w:r>
      <w:r>
        <w:rPr>
          <w:rFonts w:hint="eastAsia" w:ascii="仿宋" w:hAnsi="仿宋" w:eastAsia="仿宋" w:cs="Arial"/>
          <w:color w:val="000000" w:themeColor="text1"/>
          <w:kern w:val="0"/>
          <w:sz w:val="30"/>
          <w:szCs w:val="30"/>
        </w:rPr>
        <w:t>残疾人产品专场展销活动</w:t>
      </w:r>
      <w:r>
        <w:rPr>
          <w:rFonts w:hint="eastAsia" w:ascii="仿宋" w:hAnsi="仿宋" w:eastAsia="仿宋" w:cs="Arial"/>
          <w:color w:val="000000" w:themeColor="text1"/>
          <w:kern w:val="0"/>
          <w:sz w:val="30"/>
          <w:szCs w:val="30"/>
          <w:lang w:eastAsia="zh-CN"/>
        </w:rPr>
        <w:t>，</w:t>
      </w:r>
      <w:r>
        <w:rPr>
          <w:rFonts w:hint="eastAsia" w:ascii="仿宋" w:hAnsi="仿宋" w:eastAsia="仿宋" w:cs="Arial"/>
          <w:color w:val="000000" w:themeColor="text1"/>
          <w:kern w:val="0"/>
          <w:sz w:val="30"/>
          <w:szCs w:val="30"/>
        </w:rPr>
        <w:t>对残疾人优质农特产区进行线上线下一体化宣传推广，拓展残疾人农特产品全渠道销售</w:t>
      </w:r>
      <w:r>
        <w:rPr>
          <w:rFonts w:hint="eastAsia" w:ascii="仿宋" w:hAnsi="仿宋" w:eastAsia="仿宋" w:cs="Arial"/>
          <w:color w:val="000000" w:themeColor="text1"/>
          <w:kern w:val="0"/>
          <w:sz w:val="30"/>
          <w:szCs w:val="30"/>
          <w:lang w:eastAsia="zh-CN"/>
        </w:rPr>
        <w:t>，</w:t>
      </w:r>
      <w:r>
        <w:rPr>
          <w:rFonts w:hint="eastAsia" w:ascii="仿宋" w:hAnsi="仿宋" w:eastAsia="仿宋" w:cs="Arial"/>
          <w:color w:val="000000" w:themeColor="text1"/>
          <w:kern w:val="0"/>
          <w:sz w:val="30"/>
          <w:szCs w:val="30"/>
          <w:lang w:val="en-US" w:eastAsia="zh-CN"/>
        </w:rPr>
        <w:t>并</w:t>
      </w:r>
      <w:r>
        <w:rPr>
          <w:rFonts w:hint="eastAsia" w:ascii="仿宋" w:hAnsi="仿宋" w:eastAsia="仿宋" w:cs="Arial"/>
          <w:color w:val="000000" w:themeColor="text1"/>
          <w:kern w:val="0"/>
          <w:sz w:val="30"/>
          <w:szCs w:val="30"/>
        </w:rPr>
        <w:t>从残疾人就业保障金中安排专项经费，开展线下线上集中展销系列活动。</w:t>
      </w:r>
    </w:p>
    <w:p>
      <w:pPr>
        <w:widowControl/>
        <w:spacing w:line="600" w:lineRule="exact"/>
        <w:ind w:firstLine="594" w:firstLineChars="198"/>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（六）引导残疾人家庭参与电商服务体系就业增收。</w:t>
      </w:r>
      <w:r>
        <w:rPr>
          <w:rFonts w:hint="eastAsia" w:ascii="仿宋" w:hAnsi="仿宋" w:eastAsia="仿宋" w:cs="Arial"/>
          <w:color w:val="000000" w:themeColor="text1"/>
          <w:kern w:val="0"/>
          <w:sz w:val="30"/>
          <w:szCs w:val="30"/>
          <w:lang w:val="en-US" w:eastAsia="zh-CN"/>
        </w:rPr>
        <w:t>县市区</w:t>
      </w:r>
      <w:r>
        <w:rPr>
          <w:rFonts w:hint="eastAsia" w:ascii="仿宋" w:hAnsi="仿宋" w:eastAsia="仿宋" w:cs="Arial"/>
          <w:color w:val="000000" w:themeColor="text1"/>
          <w:kern w:val="0"/>
          <w:sz w:val="30"/>
          <w:szCs w:val="30"/>
        </w:rPr>
        <w:t>残联要加大对电商企业按比例安排残疾人就业政策宣传和集中就业岗位开发力度，提供免费就业服务，帮助企业培养和匹配残疾人电商人才。根据残疾人自身的特长特点，发挥其人力资源比较优势，分别引导残疾人从事营销推广、客户服务、售后服务、网店建设、软件开发、视频美工、文创设计、仓库管理、电商物流、产品包装等电商相关行业。鼓励电商企业在村级服务站建设、微店进小区等活动中为有需求的残疾人家庭提供专项招募或准入优惠。</w:t>
      </w:r>
      <w:r>
        <w:rPr>
          <w:rFonts w:ascii="仿宋" w:hAnsi="仿宋" w:eastAsia="仿宋" w:cs="Arial"/>
          <w:color w:val="000000" w:themeColor="text1"/>
          <w:kern w:val="0"/>
          <w:sz w:val="30"/>
          <w:szCs w:val="30"/>
        </w:rPr>
        <w:t>组织动员和鼓励各类参与扶贫事业的电商企业、电商扶贫示范网店，与建档立卡残疾人贫困户建立利益联结机制，</w:t>
      </w:r>
      <w:r>
        <w:rPr>
          <w:rFonts w:hint="eastAsia" w:ascii="仿宋" w:hAnsi="仿宋" w:eastAsia="仿宋" w:cs="Arial"/>
          <w:color w:val="000000" w:themeColor="text1"/>
          <w:kern w:val="0"/>
          <w:sz w:val="30"/>
          <w:szCs w:val="30"/>
        </w:rPr>
        <w:t>通过以</w:t>
      </w:r>
      <w:r>
        <w:rPr>
          <w:rFonts w:ascii="仿宋" w:hAnsi="仿宋" w:eastAsia="仿宋" w:cs="Arial"/>
          <w:color w:val="000000" w:themeColor="text1"/>
          <w:kern w:val="0"/>
          <w:sz w:val="30"/>
          <w:szCs w:val="30"/>
        </w:rPr>
        <w:t>保护价优先采购、销售贫困户农特产品，义务为建档立卡残疾人贫困户提供代购生产生活资料、代办缴费购票，</w:t>
      </w:r>
      <w:r>
        <w:rPr>
          <w:rFonts w:hint="eastAsia" w:ascii="仿宋" w:hAnsi="仿宋" w:eastAsia="仿宋" w:cs="Arial"/>
          <w:color w:val="000000" w:themeColor="text1"/>
          <w:kern w:val="0"/>
          <w:sz w:val="30"/>
          <w:szCs w:val="30"/>
        </w:rPr>
        <w:t>吸纳符合</w:t>
      </w:r>
      <w:r>
        <w:rPr>
          <w:rFonts w:ascii="仿宋" w:hAnsi="仿宋" w:eastAsia="仿宋" w:cs="Arial"/>
          <w:color w:val="000000" w:themeColor="text1"/>
          <w:kern w:val="0"/>
          <w:sz w:val="30"/>
          <w:szCs w:val="30"/>
        </w:rPr>
        <w:t>条件的建档立卡残疾人及其家庭成员就业</w:t>
      </w:r>
      <w:r>
        <w:rPr>
          <w:rFonts w:hint="eastAsia" w:ascii="仿宋" w:hAnsi="仿宋" w:eastAsia="仿宋" w:cs="Arial"/>
          <w:color w:val="000000" w:themeColor="text1"/>
          <w:kern w:val="0"/>
          <w:sz w:val="30"/>
          <w:szCs w:val="30"/>
        </w:rPr>
        <w:t>等举措，开展助残扶贫活动</w:t>
      </w:r>
      <w:r>
        <w:rPr>
          <w:rFonts w:ascii="仿宋" w:hAnsi="仿宋" w:eastAsia="仿宋" w:cs="Arial"/>
          <w:color w:val="000000" w:themeColor="text1"/>
          <w:kern w:val="0"/>
          <w:sz w:val="30"/>
          <w:szCs w:val="30"/>
        </w:rPr>
        <w:t>。</w:t>
      </w:r>
      <w:r>
        <w:rPr>
          <w:rFonts w:hint="eastAsia" w:ascii="仿宋" w:hAnsi="仿宋" w:eastAsia="仿宋" w:cs="Arial"/>
          <w:color w:val="000000" w:themeColor="text1"/>
          <w:kern w:val="0"/>
          <w:sz w:val="30"/>
          <w:szCs w:val="30"/>
        </w:rPr>
        <w:t>对集中开发残疾人就业岗位、直接吸纳残疾人就业人数10人以上的电商企业、电商产业基地，纳入残疾人阳光就业基地扶持范围。</w:t>
      </w:r>
    </w:p>
    <w:p>
      <w:pPr>
        <w:widowControl/>
        <w:spacing w:line="600" w:lineRule="exact"/>
        <w:ind w:firstLine="594" w:firstLineChars="198"/>
        <w:jc w:val="left"/>
        <w:rPr>
          <w:rFonts w:ascii="仿宋" w:hAnsi="仿宋" w:eastAsia="仿宋" w:cs="Arial"/>
          <w:color w:val="000000" w:themeColor="text1"/>
          <w:sz w:val="30"/>
          <w:szCs w:val="30"/>
        </w:rPr>
      </w:pPr>
      <w:r>
        <w:rPr>
          <w:rFonts w:hint="eastAsia" w:ascii="华文楷体" w:hAnsi="华文楷体" w:eastAsia="华文楷体" w:cs="Arial"/>
          <w:color w:val="000000" w:themeColor="text1"/>
          <w:kern w:val="0"/>
          <w:sz w:val="30"/>
          <w:szCs w:val="30"/>
        </w:rPr>
        <w:t>（七）提供金融扶持。</w:t>
      </w:r>
      <w:r>
        <w:rPr>
          <w:rFonts w:hint="eastAsia" w:ascii="仿宋" w:hAnsi="仿宋" w:eastAsia="仿宋" w:cs="Arial"/>
          <w:color w:val="000000" w:themeColor="text1"/>
          <w:kern w:val="0"/>
          <w:sz w:val="30"/>
          <w:szCs w:val="30"/>
        </w:rPr>
        <w:t>扶贫部门要将残疾人电商助残扶贫行动纳入扶贫小额信贷支持范围，对开办网点、从事网货生产销售的建档立卡残疾人贫困户，按照</w:t>
      </w:r>
      <w:r>
        <w:rPr>
          <w:rFonts w:hint="eastAsia" w:ascii="仿宋" w:hAnsi="仿宋" w:eastAsia="仿宋" w:cs="Arial"/>
          <w:color w:val="000000" w:themeColor="text1"/>
          <w:kern w:val="0"/>
          <w:sz w:val="30"/>
          <w:szCs w:val="30"/>
          <w:lang w:val="en-US" w:eastAsia="zh-CN"/>
        </w:rPr>
        <w:t>省、市有关</w:t>
      </w:r>
      <w:r>
        <w:rPr>
          <w:rFonts w:hint="eastAsia" w:ascii="仿宋" w:hAnsi="仿宋" w:eastAsia="仿宋" w:cs="Arial"/>
          <w:color w:val="000000" w:themeColor="text1"/>
          <w:kern w:val="0"/>
          <w:sz w:val="30"/>
          <w:szCs w:val="30"/>
        </w:rPr>
        <w:t>贷款贴息政策，给予扶贫小额信贷贴息支持。商务部门对开办网店、从事网货生产销售的残疾贫困户和带动残疾贫困户生产销售网货产品、效果明显的企业或网店，优先纳入电商产业政策</w:t>
      </w:r>
      <w:r>
        <w:rPr>
          <w:rFonts w:hint="eastAsia" w:ascii="仿宋" w:hAnsi="仿宋" w:eastAsia="仿宋" w:cs="Arial"/>
          <w:color w:val="000000" w:themeColor="text1"/>
          <w:sz w:val="30"/>
          <w:szCs w:val="30"/>
        </w:rPr>
        <w:t>支持。残联</w:t>
      </w:r>
      <w:r>
        <w:rPr>
          <w:rFonts w:hint="eastAsia" w:ascii="仿宋" w:hAnsi="仿宋" w:eastAsia="仿宋" w:cs="Arial"/>
          <w:color w:val="000000" w:themeColor="text1"/>
          <w:sz w:val="30"/>
          <w:szCs w:val="30"/>
          <w:lang w:val="en-US" w:eastAsia="zh-CN"/>
        </w:rPr>
        <w:t>部门</w:t>
      </w:r>
      <w:r>
        <w:rPr>
          <w:rFonts w:hint="eastAsia" w:ascii="仿宋" w:hAnsi="仿宋" w:eastAsia="仿宋" w:cs="Arial"/>
          <w:color w:val="000000" w:themeColor="text1"/>
          <w:sz w:val="30"/>
          <w:szCs w:val="30"/>
        </w:rPr>
        <w:t>对符合条件的残疾人电商创业者纳入《湖南省残疾人创业小额贷款贴息项目》扶持。</w:t>
      </w:r>
    </w:p>
    <w:p>
      <w:pPr>
        <w:widowControl/>
        <w:spacing w:line="600" w:lineRule="exact"/>
        <w:ind w:firstLine="525" w:firstLineChars="250"/>
        <w:jc w:val="left"/>
        <w:rPr>
          <w:rFonts w:ascii="黑体" w:hAnsi="黑体" w:eastAsia="黑体" w:cs="Arial"/>
          <w:color w:val="000000" w:themeColor="text1"/>
          <w:kern w:val="0"/>
          <w:sz w:val="30"/>
          <w:szCs w:val="30"/>
        </w:rPr>
      </w:pPr>
      <w:r>
        <w:rPr>
          <w:rFonts w:hint="eastAsia" w:ascii="仿宋" w:hAnsi="仿宋" w:eastAsia="仿宋"/>
          <w:color w:val="000000" w:themeColor="text1"/>
        </w:rPr>
        <w:t xml:space="preserve">  </w:t>
      </w:r>
      <w:r>
        <w:rPr>
          <w:rFonts w:hint="eastAsia" w:ascii="黑体" w:hAnsi="黑体" w:eastAsia="黑体"/>
          <w:color w:val="000000" w:themeColor="text1"/>
        </w:rPr>
        <w:t xml:space="preserve"> </w:t>
      </w:r>
      <w:r>
        <w:rPr>
          <w:rFonts w:hint="eastAsia" w:ascii="黑体" w:hAnsi="黑体" w:eastAsia="黑体" w:cs="Arial"/>
          <w:color w:val="000000" w:themeColor="text1"/>
          <w:kern w:val="0"/>
          <w:sz w:val="30"/>
          <w:szCs w:val="30"/>
        </w:rPr>
        <w:t>四、经费安排</w:t>
      </w:r>
    </w:p>
    <w:p>
      <w:pPr>
        <w:widowControl/>
        <w:spacing w:line="600" w:lineRule="exact"/>
        <w:ind w:firstLine="750" w:firstLineChars="250"/>
        <w:jc w:val="left"/>
        <w:rPr>
          <w:rFonts w:hint="eastAsia" w:ascii="仿宋" w:hAnsi="仿宋" w:eastAsia="仿宋" w:cs="Arial"/>
          <w:color w:val="000000" w:themeColor="text1"/>
          <w:kern w:val="0"/>
          <w:sz w:val="30"/>
          <w:szCs w:val="30"/>
          <w:lang w:val="en-US" w:eastAsia="zh-CN"/>
        </w:rPr>
      </w:pPr>
      <w:r>
        <w:rPr>
          <w:rFonts w:hint="eastAsia" w:ascii="仿宋" w:hAnsi="仿宋" w:eastAsia="仿宋" w:cs="Arial"/>
          <w:color w:val="000000" w:themeColor="text1"/>
          <w:kern w:val="0"/>
          <w:sz w:val="30"/>
          <w:szCs w:val="30"/>
        </w:rPr>
        <w:t>电商助残扶贫工程行动扶持资金从残疾人就业保障金中安排，</w:t>
      </w:r>
      <w:r>
        <w:rPr>
          <w:rFonts w:hint="eastAsia" w:ascii="仿宋" w:hAnsi="仿宋" w:eastAsia="仿宋" w:cs="Arial"/>
          <w:color w:val="000000" w:themeColor="text1"/>
          <w:kern w:val="0"/>
          <w:sz w:val="30"/>
          <w:szCs w:val="30"/>
          <w:lang w:val="en-US" w:eastAsia="zh-CN"/>
        </w:rPr>
        <w:t>除省级扶持资金外，市级将按省、市</w:t>
      </w:r>
      <w:r>
        <w:rPr>
          <w:rFonts w:hint="eastAsia" w:ascii="仿宋_GB2312" w:eastAsia="仿宋_GB2312"/>
          <w:sz w:val="30"/>
          <w:szCs w:val="30"/>
        </w:rPr>
        <w:t>残联联合下发的《残疾人创业扶持项目实施方案》</w:t>
      </w:r>
      <w:r>
        <w:rPr>
          <w:rFonts w:hint="eastAsia" w:ascii="仿宋_GB2312" w:hAnsi="仿宋" w:eastAsia="仿宋_GB2312"/>
          <w:sz w:val="30"/>
          <w:szCs w:val="30"/>
        </w:rPr>
        <w:t xml:space="preserve"> (湘残联字〔2015〕9号)</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市残联和市财政局联合下发的</w:t>
      </w:r>
      <w:r>
        <w:rPr>
          <w:rFonts w:hint="eastAsia" w:ascii="仿宋_GB2312" w:hAnsi="黑体" w:eastAsia="仿宋_GB2312" w:cs="黑体"/>
          <w:sz w:val="30"/>
          <w:szCs w:val="30"/>
        </w:rPr>
        <w:t>《常德市残疾人就业扶贫示范基地建设工作方案</w:t>
      </w:r>
      <w:r>
        <w:rPr>
          <w:rFonts w:hint="eastAsia" w:ascii="仿宋_GB2312" w:hAnsi="黑体" w:eastAsia="仿宋_GB2312" w:cs="黑体"/>
          <w:sz w:val="28"/>
          <w:szCs w:val="28"/>
        </w:rPr>
        <w:t>（2017-2020</w:t>
      </w:r>
      <w:r>
        <w:rPr>
          <w:rFonts w:hint="eastAsia" w:ascii="仿宋_GB2312" w:hAnsi="黑体" w:eastAsia="仿宋_GB2312" w:cs="黑体"/>
          <w:sz w:val="30"/>
          <w:szCs w:val="30"/>
        </w:rPr>
        <w:t>年</w:t>
      </w:r>
      <w:r>
        <w:rPr>
          <w:rFonts w:hint="eastAsia" w:ascii="仿宋_GB2312" w:hAnsi="黑体" w:eastAsia="仿宋_GB2312" w:cs="黑体"/>
          <w:sz w:val="28"/>
          <w:szCs w:val="28"/>
        </w:rPr>
        <w:t>）》</w:t>
      </w:r>
      <w:r>
        <w:rPr>
          <w:rFonts w:hint="eastAsia" w:ascii="仿宋_GB2312" w:hAnsi="黑体" w:eastAsia="仿宋_GB2312" w:cs="黑体"/>
          <w:sz w:val="28"/>
          <w:szCs w:val="28"/>
          <w:lang w:val="en-US" w:eastAsia="zh-CN"/>
        </w:rPr>
        <w:t>等</w:t>
      </w:r>
      <w:r>
        <w:rPr>
          <w:rFonts w:hint="eastAsia" w:ascii="仿宋" w:hAnsi="仿宋" w:eastAsia="仿宋" w:cs="Arial"/>
          <w:color w:val="000000" w:themeColor="text1"/>
          <w:kern w:val="0"/>
          <w:sz w:val="30"/>
          <w:szCs w:val="30"/>
          <w:lang w:val="en-US" w:eastAsia="zh-CN"/>
        </w:rPr>
        <w:t>文件精神给予资金扶持，县市区残联也要商同级财政给予资金扶持。</w:t>
      </w:r>
    </w:p>
    <w:p>
      <w:pPr>
        <w:widowControl/>
        <w:spacing w:line="600" w:lineRule="exact"/>
        <w:ind w:firstLine="750" w:firstLineChars="250"/>
        <w:jc w:val="left"/>
        <w:rPr>
          <w:rFonts w:ascii="黑体" w:hAnsi="黑体" w:eastAsia="黑体" w:cs="Arial"/>
          <w:color w:val="000000" w:themeColor="text1"/>
          <w:kern w:val="0"/>
          <w:sz w:val="30"/>
          <w:szCs w:val="30"/>
        </w:rPr>
      </w:pPr>
      <w:r>
        <w:rPr>
          <w:rFonts w:hint="eastAsia" w:ascii="黑体" w:hAnsi="黑体" w:eastAsia="黑体" w:cs="Arial"/>
          <w:color w:val="000000" w:themeColor="text1"/>
          <w:kern w:val="0"/>
          <w:sz w:val="30"/>
          <w:szCs w:val="30"/>
        </w:rPr>
        <w:t>五、工作要求</w:t>
      </w:r>
    </w:p>
    <w:p>
      <w:pPr>
        <w:widowControl/>
        <w:spacing w:line="600" w:lineRule="exact"/>
        <w:ind w:firstLine="600" w:firstLineChars="200"/>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（一）加强组织领导。</w:t>
      </w:r>
      <w:r>
        <w:rPr>
          <w:rFonts w:hint="eastAsia" w:ascii="仿宋" w:hAnsi="仿宋" w:eastAsia="仿宋" w:cs="Arial"/>
          <w:color w:val="000000" w:themeColor="text1"/>
          <w:kern w:val="0"/>
          <w:sz w:val="30"/>
          <w:szCs w:val="30"/>
        </w:rPr>
        <w:t>残联、商务</w:t>
      </w:r>
      <w:r>
        <w:rPr>
          <w:rFonts w:hint="eastAsia" w:ascii="仿宋" w:hAnsi="仿宋" w:eastAsia="仿宋" w:cs="Arial"/>
          <w:color w:val="000000" w:themeColor="text1"/>
          <w:kern w:val="0"/>
          <w:sz w:val="30"/>
          <w:szCs w:val="30"/>
          <w:lang w:val="en-US" w:eastAsia="zh-CN"/>
        </w:rPr>
        <w:t>局</w:t>
      </w:r>
      <w:r>
        <w:rPr>
          <w:rFonts w:hint="eastAsia" w:ascii="仿宋" w:hAnsi="仿宋" w:eastAsia="仿宋" w:cs="Arial"/>
          <w:color w:val="000000" w:themeColor="text1"/>
          <w:kern w:val="0"/>
          <w:sz w:val="30"/>
          <w:szCs w:val="30"/>
        </w:rPr>
        <w:t>和扶贫办要高度重视、密切配合，及时研究解决电商助残扶贫工程中存在的困难和问题。商务主管部门要把电商助残扶贫工程纳入本地电商产业发展和电商扶贫工作整体规划，统筹推进、优先扶持。扶贫办在推动电商扶贫工作中将建档立卡残疾人贫困户作为重点扶持对象，优先落实电商扶贫各项扶持政策措施。残联要加大对残疾人电商扶贫投入力度，及时掌握建档立卡残疾人从事电商创业就业的情况和需求，积极协调和配合商务主管部门、扶贫办及其他政府职能部门落实电商助残扶贫的政策措施，为建档立卡残疾人贫困户电商就业创业排忧解难。</w:t>
      </w:r>
    </w:p>
    <w:p>
      <w:pPr>
        <w:widowControl/>
        <w:spacing w:line="600" w:lineRule="exact"/>
        <w:ind w:firstLine="594" w:firstLineChars="198"/>
        <w:jc w:val="left"/>
        <w:rPr>
          <w:rFonts w:ascii="仿宋" w:hAnsi="仿宋" w:eastAsia="仿宋" w:cs="Arial"/>
          <w:color w:val="000000" w:themeColor="text1"/>
          <w:sz w:val="30"/>
          <w:szCs w:val="30"/>
        </w:rPr>
      </w:pPr>
      <w:r>
        <w:rPr>
          <w:rFonts w:hint="eastAsia" w:ascii="华文楷体" w:hAnsi="华文楷体" w:eastAsia="华文楷体" w:cs="Arial"/>
          <w:color w:val="000000" w:themeColor="text1"/>
          <w:kern w:val="0"/>
          <w:sz w:val="30"/>
          <w:szCs w:val="30"/>
        </w:rPr>
        <w:t>（二）制定工作计划。</w:t>
      </w:r>
      <w:r>
        <w:rPr>
          <w:rFonts w:hint="eastAsia" w:ascii="仿宋" w:hAnsi="仿宋" w:eastAsia="仿宋" w:cs="Arial"/>
          <w:color w:val="000000" w:themeColor="text1"/>
          <w:sz w:val="30"/>
          <w:szCs w:val="30"/>
        </w:rPr>
        <w:t>2018年</w:t>
      </w:r>
      <w:r>
        <w:rPr>
          <w:rFonts w:hint="eastAsia" w:ascii="仿宋" w:hAnsi="仿宋" w:eastAsia="仿宋" w:cs="Arial"/>
          <w:color w:val="000000" w:themeColor="text1"/>
          <w:sz w:val="30"/>
          <w:szCs w:val="30"/>
          <w:lang w:val="en-US" w:eastAsia="zh-CN"/>
        </w:rPr>
        <w:t>4</w:t>
      </w:r>
      <w:r>
        <w:rPr>
          <w:rFonts w:hint="eastAsia" w:ascii="仿宋" w:hAnsi="仿宋" w:eastAsia="仿宋" w:cs="Arial"/>
          <w:color w:val="000000" w:themeColor="text1"/>
          <w:sz w:val="30"/>
          <w:szCs w:val="30"/>
        </w:rPr>
        <w:t>月底前，</w:t>
      </w:r>
      <w:r>
        <w:rPr>
          <w:rFonts w:hint="eastAsia" w:ascii="仿宋" w:hAnsi="仿宋" w:eastAsia="仿宋" w:cs="Arial"/>
          <w:color w:val="000000" w:themeColor="text1"/>
          <w:sz w:val="30"/>
          <w:szCs w:val="30"/>
          <w:lang w:val="en-US" w:eastAsia="zh-CN"/>
        </w:rPr>
        <w:t>县</w:t>
      </w:r>
      <w:r>
        <w:rPr>
          <w:rFonts w:hint="eastAsia" w:ascii="仿宋" w:hAnsi="仿宋" w:eastAsia="仿宋" w:cs="Arial"/>
          <w:color w:val="000000" w:themeColor="text1"/>
          <w:sz w:val="30"/>
          <w:szCs w:val="30"/>
        </w:rPr>
        <w:t>级残联、商务主管部门、扶贫办要研究确定本地区电商助残扶贫工程行动具体方案，并报上级主管部门备案。各地要因地制宜，找准着力点开展电商助残扶贫工作，瞄准有条件有意愿的建档立卡残疾人贫困户，采取切实可行的措施，帮助其通过电商产业实现创业就业增收。</w:t>
      </w:r>
    </w:p>
    <w:p>
      <w:pPr>
        <w:widowControl/>
        <w:spacing w:line="600" w:lineRule="exact"/>
        <w:ind w:firstLine="594" w:firstLineChars="198"/>
        <w:jc w:val="left"/>
        <w:rPr>
          <w:rFonts w:hint="eastAsia" w:ascii="仿宋" w:hAnsi="仿宋" w:eastAsia="仿宋" w:cs="Arial"/>
          <w:color w:val="000000" w:themeColor="text1"/>
          <w:sz w:val="30"/>
          <w:szCs w:val="30"/>
        </w:rPr>
      </w:pPr>
      <w:r>
        <w:rPr>
          <w:rFonts w:hint="eastAsia" w:ascii="华文楷体" w:hAnsi="华文楷体" w:eastAsia="华文楷体" w:cs="Arial"/>
          <w:color w:val="000000" w:themeColor="text1"/>
          <w:kern w:val="0"/>
          <w:sz w:val="30"/>
          <w:szCs w:val="30"/>
        </w:rPr>
        <w:t>（三）加强宣传推介。</w:t>
      </w:r>
      <w:r>
        <w:rPr>
          <w:rFonts w:hint="eastAsia" w:ascii="仿宋" w:hAnsi="仿宋" w:eastAsia="仿宋" w:cs="Arial"/>
          <w:color w:val="000000" w:themeColor="text1"/>
          <w:sz w:val="30"/>
          <w:szCs w:val="30"/>
          <w:lang w:val="en-US" w:eastAsia="zh-CN"/>
        </w:rPr>
        <w:t>县市区</w:t>
      </w:r>
      <w:r>
        <w:rPr>
          <w:rFonts w:hint="eastAsia" w:ascii="仿宋" w:hAnsi="仿宋" w:eastAsia="仿宋" w:cs="Arial"/>
          <w:color w:val="000000" w:themeColor="text1"/>
          <w:sz w:val="30"/>
          <w:szCs w:val="30"/>
        </w:rPr>
        <w:t>要充分利用报纸、广播、电视、网络等媒体，加大对电商助残扶贫工作的宣传力度，及时总结和推广其中的好经验、好做法，及时发现和树立建档立卡残疾人贫困户电商就业创业的脱贫典型和电商行业助残扶贫典型，并推荐纳入有关评比表彰。</w:t>
      </w:r>
    </w:p>
    <w:p>
      <w:pPr>
        <w:widowControl/>
        <w:spacing w:line="600" w:lineRule="exact"/>
        <w:ind w:firstLine="594" w:firstLineChars="198"/>
        <w:jc w:val="left"/>
        <w:rPr>
          <w:rFonts w:ascii="仿宋" w:hAnsi="仿宋" w:eastAsia="仿宋" w:cs="Arial"/>
          <w:color w:val="000000" w:themeColor="text1"/>
          <w:sz w:val="30"/>
          <w:szCs w:val="30"/>
        </w:rPr>
      </w:pPr>
      <w:r>
        <w:rPr>
          <w:rFonts w:hint="eastAsia" w:ascii="华文楷体" w:hAnsi="华文楷体" w:eastAsia="华文楷体" w:cs="Arial"/>
          <w:color w:val="000000" w:themeColor="text1"/>
          <w:kern w:val="0"/>
          <w:sz w:val="30"/>
          <w:szCs w:val="30"/>
        </w:rPr>
        <w:t>（四）建立共享机制。</w:t>
      </w:r>
      <w:r>
        <w:rPr>
          <w:rFonts w:hint="eastAsia" w:ascii="仿宋" w:hAnsi="仿宋" w:eastAsia="仿宋" w:cs="仿宋"/>
          <w:color w:val="000000" w:themeColor="text1"/>
          <w:kern w:val="0"/>
          <w:sz w:val="30"/>
          <w:szCs w:val="30"/>
          <w:lang w:val="en-US" w:eastAsia="zh-CN"/>
        </w:rPr>
        <w:t>市县两</w:t>
      </w:r>
      <w:r>
        <w:rPr>
          <w:rFonts w:hint="eastAsia" w:ascii="仿宋" w:hAnsi="仿宋" w:eastAsia="仿宋" w:cs="仿宋"/>
          <w:color w:val="000000" w:themeColor="text1"/>
          <w:sz w:val="30"/>
          <w:szCs w:val="30"/>
        </w:rPr>
        <w:t>级</w:t>
      </w:r>
      <w:r>
        <w:rPr>
          <w:rFonts w:hint="eastAsia" w:ascii="仿宋" w:hAnsi="仿宋" w:eastAsia="仿宋" w:cs="Arial"/>
          <w:color w:val="000000" w:themeColor="text1"/>
          <w:sz w:val="30"/>
          <w:szCs w:val="30"/>
        </w:rPr>
        <w:t>商务主管部门、扶贫办要从项目、资金上优先支持建档立卡残疾人贫困户发展电商产业，在电商企业和网络平台开展的网购消费扶贫活动中，相应组织开展电商助残扶贫专题活动，优先推介建档立卡残疾人贫困户生产的农产品、手工艺品等。各级残联要围绕电商助残扶贫行动，整合残疾人培训、创业扶持等业务工作，对接好商务主管部门、扶贫办的有关活动和计划，集中人力、物力、财力，做好农村残疾人电商致富示范户和致富带头人培养工作。</w:t>
      </w:r>
    </w:p>
    <w:p>
      <w:pPr>
        <w:widowControl/>
        <w:spacing w:line="600" w:lineRule="exact"/>
        <w:ind w:firstLine="594" w:firstLineChars="198"/>
        <w:jc w:val="left"/>
        <w:rPr>
          <w:rFonts w:ascii="仿宋" w:hAnsi="仿宋" w:eastAsia="仿宋" w:cs="Arial"/>
          <w:color w:val="000000" w:themeColor="text1"/>
          <w:kern w:val="0"/>
          <w:sz w:val="30"/>
          <w:szCs w:val="30"/>
        </w:rPr>
      </w:pPr>
      <w:r>
        <w:rPr>
          <w:rFonts w:hint="eastAsia" w:ascii="华文楷体" w:hAnsi="华文楷体" w:eastAsia="华文楷体" w:cs="Arial"/>
          <w:color w:val="000000" w:themeColor="text1"/>
          <w:kern w:val="0"/>
          <w:sz w:val="30"/>
          <w:szCs w:val="30"/>
        </w:rPr>
        <w:t>（五）加强督导总结。</w:t>
      </w:r>
      <w:r>
        <w:rPr>
          <w:rFonts w:hint="eastAsia" w:ascii="仿宋" w:hAnsi="仿宋" w:eastAsia="仿宋" w:cs="Arial"/>
          <w:color w:val="000000" w:themeColor="text1"/>
          <w:kern w:val="0"/>
          <w:sz w:val="30"/>
          <w:szCs w:val="30"/>
        </w:rPr>
        <w:t>将电商助残扶贫行动纳入</w:t>
      </w:r>
      <w:r>
        <w:rPr>
          <w:rFonts w:hint="eastAsia" w:ascii="仿宋" w:hAnsi="仿宋" w:eastAsia="仿宋" w:cs="Arial"/>
          <w:color w:val="000000" w:themeColor="text1"/>
          <w:kern w:val="0"/>
          <w:sz w:val="30"/>
          <w:szCs w:val="30"/>
          <w:lang w:val="en-US" w:eastAsia="zh-CN"/>
        </w:rPr>
        <w:t>市县两级</w:t>
      </w:r>
      <w:r>
        <w:rPr>
          <w:rFonts w:hint="eastAsia" w:ascii="仿宋" w:hAnsi="仿宋" w:eastAsia="仿宋" w:cs="Arial"/>
          <w:color w:val="000000" w:themeColor="text1"/>
          <w:kern w:val="0"/>
          <w:sz w:val="30"/>
          <w:szCs w:val="30"/>
        </w:rPr>
        <w:t>电商精准扶贫工作体系，建立电商助残扶贫统计通报制度，重点考核残疾人电商培训和网店创办数、销售量、交易额及残疾人贫困户增收脱贫情况。残联、商务主管部门和扶贫办要加强对辖区内电商助残扶贫行动实施情况的指导和检查。每年11月5日前</w:t>
      </w:r>
      <w:r>
        <w:rPr>
          <w:rFonts w:hint="eastAsia" w:ascii="仿宋" w:hAnsi="仿宋" w:eastAsia="仿宋" w:cs="Arial"/>
          <w:color w:val="000000" w:themeColor="text1"/>
          <w:kern w:val="0"/>
          <w:sz w:val="30"/>
          <w:szCs w:val="30"/>
          <w:lang w:val="en-US" w:eastAsia="zh-CN"/>
        </w:rPr>
        <w:t>上</w:t>
      </w:r>
      <w:r>
        <w:rPr>
          <w:rFonts w:hint="eastAsia" w:ascii="仿宋" w:hAnsi="仿宋" w:eastAsia="仿宋" w:cs="Arial"/>
          <w:color w:val="000000" w:themeColor="text1"/>
          <w:kern w:val="0"/>
          <w:sz w:val="30"/>
          <w:szCs w:val="30"/>
        </w:rPr>
        <w:t>报电商助残扶贫行动</w:t>
      </w:r>
      <w:r>
        <w:rPr>
          <w:rFonts w:hint="eastAsia" w:ascii="仿宋" w:hAnsi="仿宋" w:eastAsia="仿宋" w:cs="Arial"/>
          <w:color w:val="000000" w:themeColor="text1"/>
          <w:kern w:val="0"/>
          <w:sz w:val="30"/>
          <w:szCs w:val="30"/>
          <w:lang w:val="en-US" w:eastAsia="zh-CN"/>
        </w:rPr>
        <w:t>年度工作总结</w:t>
      </w:r>
      <w:r>
        <w:rPr>
          <w:rFonts w:hint="eastAsia" w:ascii="仿宋" w:hAnsi="仿宋" w:eastAsia="仿宋" w:cs="Arial"/>
          <w:color w:val="000000" w:themeColor="text1"/>
          <w:kern w:val="0"/>
          <w:sz w:val="30"/>
          <w:szCs w:val="30"/>
        </w:rPr>
        <w:t>。</w:t>
      </w:r>
    </w:p>
    <w:p>
      <w:pPr>
        <w:widowControl/>
        <w:spacing w:line="600" w:lineRule="exact"/>
        <w:jc w:val="left"/>
        <w:rPr>
          <w:rFonts w:ascii="仿宋" w:hAnsi="仿宋" w:eastAsia="仿宋" w:cs="Arial"/>
          <w:color w:val="000000" w:themeColor="text1"/>
          <w:kern w:val="0"/>
          <w:sz w:val="30"/>
          <w:szCs w:val="30"/>
        </w:rPr>
      </w:pPr>
    </w:p>
    <w:p>
      <w:pPr>
        <w:widowControl/>
        <w:spacing w:line="600" w:lineRule="exact"/>
        <w:jc w:val="left"/>
        <w:rPr>
          <w:rFonts w:ascii="仿宋" w:hAnsi="仿宋" w:eastAsia="仿宋" w:cs="Arial"/>
          <w:color w:val="000000" w:themeColor="text1"/>
          <w:kern w:val="0"/>
          <w:sz w:val="30"/>
          <w:szCs w:val="30"/>
        </w:rPr>
      </w:pPr>
    </w:p>
    <w:p>
      <w:pPr>
        <w:pStyle w:val="6"/>
        <w:shd w:val="clear" w:color="auto" w:fill="FFFFFF"/>
        <w:spacing w:before="0" w:beforeAutospacing="0" w:after="0" w:afterAutospacing="0" w:line="390" w:lineRule="atLeast"/>
        <w:rPr>
          <w:rFonts w:hint="eastAsia" w:ascii="仿宋_GB2312" w:hAnsi="Arial" w:eastAsia="仿宋_GB2312" w:cs="Arial"/>
          <w:color w:val="4D4D4D"/>
          <w:sz w:val="30"/>
          <w:szCs w:val="30"/>
          <w:lang w:val="en-US" w:eastAsia="zh-CN"/>
        </w:rPr>
      </w:pPr>
    </w:p>
    <w:sectPr>
      <w:footerReference r:id="rId3" w:type="default"/>
      <w:foot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sdt>
      <w:sdtPr>
        <w:id w:val="401036017"/>
        <w:docPartObj>
          <w:docPartGallery w:val="autotext"/>
        </w:docPartObj>
      </w:sdtPr>
      <w:sdtEndPr>
        <w:rPr>
          <w:sz w:val="28"/>
          <w:szCs w:val="28"/>
        </w:rPr>
      </w:sdtEndPr>
      <w:sdtContent>
        <w:r>
          <w:rPr>
            <w:rFonts w:hint="eastAsia"/>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sdtContent>
    </w:sdt>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274086"/>
      <w:docPartObj>
        <w:docPartGallery w:val="autotext"/>
      </w:docPartObj>
    </w:sdtPr>
    <w:sdtContent>
      <w:p>
        <w:pPr>
          <w:pStyle w:val="4"/>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7C0C"/>
    <w:rsid w:val="00005ACC"/>
    <w:rsid w:val="00045025"/>
    <w:rsid w:val="0006505A"/>
    <w:rsid w:val="0009537D"/>
    <w:rsid w:val="000A5516"/>
    <w:rsid w:val="000A73A0"/>
    <w:rsid w:val="000B2765"/>
    <w:rsid w:val="000B5F8C"/>
    <w:rsid w:val="000C4EBB"/>
    <w:rsid w:val="000F189A"/>
    <w:rsid w:val="000F399C"/>
    <w:rsid w:val="000F66CC"/>
    <w:rsid w:val="00103ED6"/>
    <w:rsid w:val="0010459E"/>
    <w:rsid w:val="0010560A"/>
    <w:rsid w:val="00112DC8"/>
    <w:rsid w:val="00116DA3"/>
    <w:rsid w:val="00154D7E"/>
    <w:rsid w:val="001572EC"/>
    <w:rsid w:val="0016686B"/>
    <w:rsid w:val="00185BF5"/>
    <w:rsid w:val="00192E65"/>
    <w:rsid w:val="001B0CFF"/>
    <w:rsid w:val="001B0ECB"/>
    <w:rsid w:val="001B6239"/>
    <w:rsid w:val="001C0EDD"/>
    <w:rsid w:val="001F3A04"/>
    <w:rsid w:val="001F7B75"/>
    <w:rsid w:val="0023421D"/>
    <w:rsid w:val="00247C45"/>
    <w:rsid w:val="0025235A"/>
    <w:rsid w:val="00252750"/>
    <w:rsid w:val="00271447"/>
    <w:rsid w:val="00293B15"/>
    <w:rsid w:val="002A1E8F"/>
    <w:rsid w:val="002A3045"/>
    <w:rsid w:val="002F3800"/>
    <w:rsid w:val="00306328"/>
    <w:rsid w:val="0031542C"/>
    <w:rsid w:val="00367C9C"/>
    <w:rsid w:val="00367EB7"/>
    <w:rsid w:val="00372167"/>
    <w:rsid w:val="003A5A91"/>
    <w:rsid w:val="003F3D85"/>
    <w:rsid w:val="00405C78"/>
    <w:rsid w:val="00421BE0"/>
    <w:rsid w:val="004454ED"/>
    <w:rsid w:val="00455EB9"/>
    <w:rsid w:val="00476EF7"/>
    <w:rsid w:val="00477E5E"/>
    <w:rsid w:val="00496C2B"/>
    <w:rsid w:val="004C6342"/>
    <w:rsid w:val="004D2A1B"/>
    <w:rsid w:val="004E2A2A"/>
    <w:rsid w:val="004E59F2"/>
    <w:rsid w:val="004E74E6"/>
    <w:rsid w:val="00577157"/>
    <w:rsid w:val="00597B74"/>
    <w:rsid w:val="005A77E8"/>
    <w:rsid w:val="005C0302"/>
    <w:rsid w:val="005C58A1"/>
    <w:rsid w:val="005D07B2"/>
    <w:rsid w:val="005E2F4E"/>
    <w:rsid w:val="005E6930"/>
    <w:rsid w:val="006023D5"/>
    <w:rsid w:val="006047D2"/>
    <w:rsid w:val="0062291C"/>
    <w:rsid w:val="0062512C"/>
    <w:rsid w:val="00632545"/>
    <w:rsid w:val="0063707A"/>
    <w:rsid w:val="00664452"/>
    <w:rsid w:val="006D4C60"/>
    <w:rsid w:val="006F094D"/>
    <w:rsid w:val="00711B2B"/>
    <w:rsid w:val="00714C2F"/>
    <w:rsid w:val="00716EE7"/>
    <w:rsid w:val="00717EC9"/>
    <w:rsid w:val="007427F2"/>
    <w:rsid w:val="00772575"/>
    <w:rsid w:val="007930B6"/>
    <w:rsid w:val="007D5C9C"/>
    <w:rsid w:val="00807EEE"/>
    <w:rsid w:val="0081686C"/>
    <w:rsid w:val="00821FF1"/>
    <w:rsid w:val="00833C0F"/>
    <w:rsid w:val="008A5E5B"/>
    <w:rsid w:val="008B2161"/>
    <w:rsid w:val="008E6EEA"/>
    <w:rsid w:val="008F0B1A"/>
    <w:rsid w:val="008F6B93"/>
    <w:rsid w:val="009107E3"/>
    <w:rsid w:val="009319FB"/>
    <w:rsid w:val="009448C7"/>
    <w:rsid w:val="00953BF1"/>
    <w:rsid w:val="009541A6"/>
    <w:rsid w:val="0096145A"/>
    <w:rsid w:val="00972F46"/>
    <w:rsid w:val="00991B67"/>
    <w:rsid w:val="00995D32"/>
    <w:rsid w:val="009A52CE"/>
    <w:rsid w:val="009D2BC5"/>
    <w:rsid w:val="009D62EE"/>
    <w:rsid w:val="009E7789"/>
    <w:rsid w:val="009F163D"/>
    <w:rsid w:val="00A01489"/>
    <w:rsid w:val="00A06FD0"/>
    <w:rsid w:val="00A1705B"/>
    <w:rsid w:val="00A82A06"/>
    <w:rsid w:val="00A906FC"/>
    <w:rsid w:val="00A918A8"/>
    <w:rsid w:val="00AB4F79"/>
    <w:rsid w:val="00AD1892"/>
    <w:rsid w:val="00AE2B2E"/>
    <w:rsid w:val="00B07595"/>
    <w:rsid w:val="00B321AE"/>
    <w:rsid w:val="00B61F8E"/>
    <w:rsid w:val="00B93BDB"/>
    <w:rsid w:val="00B964C0"/>
    <w:rsid w:val="00BA6D21"/>
    <w:rsid w:val="00BC0687"/>
    <w:rsid w:val="00BC2460"/>
    <w:rsid w:val="00BF43B8"/>
    <w:rsid w:val="00C16C9B"/>
    <w:rsid w:val="00C529E8"/>
    <w:rsid w:val="00C57B5E"/>
    <w:rsid w:val="00C6075E"/>
    <w:rsid w:val="00C6134A"/>
    <w:rsid w:val="00C631EF"/>
    <w:rsid w:val="00C753A7"/>
    <w:rsid w:val="00C8077E"/>
    <w:rsid w:val="00C80E7F"/>
    <w:rsid w:val="00C812BE"/>
    <w:rsid w:val="00C8540C"/>
    <w:rsid w:val="00C91388"/>
    <w:rsid w:val="00C92475"/>
    <w:rsid w:val="00C95166"/>
    <w:rsid w:val="00C9791D"/>
    <w:rsid w:val="00CA3F53"/>
    <w:rsid w:val="00CA3F77"/>
    <w:rsid w:val="00CA3FE2"/>
    <w:rsid w:val="00CA72A7"/>
    <w:rsid w:val="00CE16E4"/>
    <w:rsid w:val="00CE41EE"/>
    <w:rsid w:val="00CE42FB"/>
    <w:rsid w:val="00D00F35"/>
    <w:rsid w:val="00D213D2"/>
    <w:rsid w:val="00D27FC2"/>
    <w:rsid w:val="00D309C8"/>
    <w:rsid w:val="00D34811"/>
    <w:rsid w:val="00D83281"/>
    <w:rsid w:val="00D90BAE"/>
    <w:rsid w:val="00D93D16"/>
    <w:rsid w:val="00D959BD"/>
    <w:rsid w:val="00D9726F"/>
    <w:rsid w:val="00DA00FB"/>
    <w:rsid w:val="00DB1452"/>
    <w:rsid w:val="00DD278E"/>
    <w:rsid w:val="00DD6E5F"/>
    <w:rsid w:val="00DD78B6"/>
    <w:rsid w:val="00DE44AE"/>
    <w:rsid w:val="00E37C0C"/>
    <w:rsid w:val="00E5692F"/>
    <w:rsid w:val="00F0794C"/>
    <w:rsid w:val="00F145D6"/>
    <w:rsid w:val="00F37F73"/>
    <w:rsid w:val="00F417F8"/>
    <w:rsid w:val="00F950A4"/>
    <w:rsid w:val="00FD137F"/>
    <w:rsid w:val="00FD78D2"/>
    <w:rsid w:val="058B7F40"/>
    <w:rsid w:val="09CE4845"/>
    <w:rsid w:val="106B3E26"/>
    <w:rsid w:val="167978A9"/>
    <w:rsid w:val="187D6152"/>
    <w:rsid w:val="20076316"/>
    <w:rsid w:val="21DE6766"/>
    <w:rsid w:val="2962771F"/>
    <w:rsid w:val="324F1A1D"/>
    <w:rsid w:val="37DC5445"/>
    <w:rsid w:val="3AFE60F6"/>
    <w:rsid w:val="3DFE4672"/>
    <w:rsid w:val="403A25C3"/>
    <w:rsid w:val="4106357C"/>
    <w:rsid w:val="429A47D9"/>
    <w:rsid w:val="446A1BCE"/>
    <w:rsid w:val="46FB4B43"/>
    <w:rsid w:val="498B0AD2"/>
    <w:rsid w:val="4E061676"/>
    <w:rsid w:val="4FF827E6"/>
    <w:rsid w:val="55794C66"/>
    <w:rsid w:val="55D34FA7"/>
    <w:rsid w:val="58540689"/>
    <w:rsid w:val="5AA748E2"/>
    <w:rsid w:val="5AEE285F"/>
    <w:rsid w:val="5E3D1627"/>
    <w:rsid w:val="6AC10398"/>
    <w:rsid w:val="6F453E37"/>
    <w:rsid w:val="6FE85ECA"/>
    <w:rsid w:val="75476BB1"/>
    <w:rsid w:val="79CC6A8C"/>
    <w:rsid w:val="7C504B40"/>
    <w:rsid w:val="7E73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rFonts w:asciiTheme="minorHAnsi" w:hAnsiTheme="minorHAnsi" w:eastAsiaTheme="minorEastAsia" w:cstheme="minorBidi"/>
      <w:kern w:val="2"/>
      <w:sz w:val="18"/>
      <w:szCs w:val="18"/>
    </w:rPr>
  </w:style>
  <w:style w:type="character" w:customStyle="1" w:styleId="14">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650</Words>
  <Characters>3708</Characters>
  <Lines>30</Lines>
  <Paragraphs>8</Paragraphs>
  <ScaleCrop>false</ScaleCrop>
  <LinksUpToDate>false</LinksUpToDate>
  <CharactersWithSpaces>4350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2018-01-05T07:28:00Z</dcterms:created>
  <dc:creator>周洁琼</dc:creator>
  <cp:lastModifiedBy>宋华维</cp:lastModifiedBy>
  <cp:lastPrinted>2018-02-23T01:49:00Z</cp:lastPrinted>
  <dcterms:modified xsi:type="dcterms:W3CDTF">2018-03-16T07:24:21Z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